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8F16B3">
      <w:pPr>
        <w:widowControl/>
        <w:shd w:val="clear" w:color="auto"/>
        <w:spacing w:before="480" w:after="240"/>
        <w:jc w:val="center"/>
        <w:outlineLvl w:val="0"/>
        <w:rPr>
          <w:rFonts w:ascii="quote-cjk-patch" w:hAnsi="quote-cjk-patch" w:eastAsia="宋体" w:cs="宋体"/>
          <w:b/>
          <w:bCs/>
          <w:color w:val="0F1115"/>
          <w:kern w:val="36"/>
          <w:sz w:val="48"/>
          <w:szCs w:val="48"/>
        </w:rPr>
      </w:pPr>
      <w:bookmarkStart w:id="0" w:name="OLE_LINK95"/>
      <w:r>
        <w:rPr>
          <w:rFonts w:ascii="quote-cjk-patch" w:hAnsi="quote-cjk-patch" w:eastAsia="宋体" w:cs="宋体"/>
          <w:b/>
          <w:bCs/>
          <w:color w:val="0F1115"/>
          <w:kern w:val="36"/>
          <w:sz w:val="48"/>
          <w:szCs w:val="48"/>
        </w:rPr>
        <w:t>农业行业标准</w:t>
      </w:r>
      <w:r>
        <w:rPr>
          <w:rFonts w:hint="eastAsia" w:ascii="quote-cjk-patch" w:hAnsi="quote-cjk-patch" w:eastAsia="宋体" w:cs="宋体"/>
          <w:b/>
          <w:bCs/>
          <w:color w:val="0F1115"/>
          <w:kern w:val="36"/>
          <w:sz w:val="48"/>
          <w:szCs w:val="48"/>
          <w:lang w:eastAsia="zh-CN"/>
        </w:rPr>
        <w:t>《村容村貌提升导则（征求意见稿）》</w:t>
      </w:r>
      <w:r>
        <w:rPr>
          <w:rFonts w:ascii="quote-cjk-patch" w:hAnsi="quote-cjk-patch" w:eastAsia="宋体" w:cs="宋体"/>
          <w:b/>
          <w:bCs/>
          <w:color w:val="0F1115"/>
          <w:kern w:val="36"/>
          <w:sz w:val="48"/>
          <w:szCs w:val="48"/>
        </w:rPr>
        <w:t>编制说明</w:t>
      </w:r>
    </w:p>
    <w:bookmarkEnd w:id="0"/>
    <w:p w14:paraId="4E66A339">
      <w:pPr>
        <w:widowControl/>
        <w:shd w:val="clear" w:color="auto"/>
        <w:spacing w:before="480" w:after="240"/>
        <w:jc w:val="left"/>
        <w:outlineLvl w:val="1"/>
        <w:rPr>
          <w:rFonts w:ascii="quote-cjk-patch" w:hAnsi="quote-cjk-patch" w:eastAsia="宋体" w:cs="宋体"/>
          <w:b/>
          <w:bCs/>
          <w:color w:val="0F1115"/>
          <w:kern w:val="0"/>
          <w:sz w:val="36"/>
          <w:szCs w:val="36"/>
        </w:rPr>
      </w:pPr>
      <w:r>
        <w:rPr>
          <w:rFonts w:ascii="quote-cjk-patch" w:hAnsi="quote-cjk-patch" w:eastAsia="宋体" w:cs="宋体"/>
          <w:b/>
          <w:bCs/>
          <w:color w:val="0F1115"/>
          <w:kern w:val="0"/>
          <w:sz w:val="36"/>
          <w:szCs w:val="36"/>
        </w:rPr>
        <w:t>一、工作简况</w:t>
      </w:r>
    </w:p>
    <w:p w14:paraId="5290A583">
      <w:pPr>
        <w:widowControl/>
        <w:shd w:val="clear" w:color="auto"/>
        <w:spacing w:before="120" w:after="120"/>
        <w:jc w:val="left"/>
        <w:outlineLvl w:val="2"/>
        <w:rPr>
          <w:rFonts w:ascii="quote-cjk-patch" w:hAnsi="quote-cjk-patch" w:eastAsia="宋体" w:cs="宋体"/>
          <w:b/>
          <w:bCs/>
          <w:color w:val="0F1115"/>
          <w:kern w:val="0"/>
          <w:sz w:val="28"/>
          <w:szCs w:val="28"/>
        </w:rPr>
      </w:pPr>
      <w:bookmarkStart w:id="1" w:name="OLE_LINK68"/>
      <w:r>
        <w:rPr>
          <w:rFonts w:ascii="quote-cjk-patch" w:hAnsi="quote-cjk-patch" w:eastAsia="宋体" w:cs="宋体"/>
          <w:b/>
          <w:bCs/>
          <w:color w:val="0F1115"/>
          <w:kern w:val="0"/>
          <w:sz w:val="28"/>
          <w:szCs w:val="28"/>
        </w:rPr>
        <w:t>（一）任务来源</w:t>
      </w:r>
    </w:p>
    <w:bookmarkEnd w:id="1"/>
    <w:p w14:paraId="0F26183C">
      <w:pPr>
        <w:shd w:val="clear"/>
        <w:spacing w:line="360" w:lineRule="auto"/>
        <w:ind w:firstLine="425"/>
        <w:rPr>
          <w:rFonts w:ascii="仿宋_GB2312" w:hAnsi="宋体" w:eastAsia="仿宋_GB2312"/>
          <w:sz w:val="28"/>
          <w:szCs w:val="28"/>
        </w:rPr>
      </w:pPr>
      <w:r>
        <w:rPr>
          <w:rFonts w:ascii="仿宋_GB2312" w:hAnsi="宋体" w:eastAsia="仿宋_GB2312"/>
          <w:sz w:val="28"/>
          <w:szCs w:val="28"/>
        </w:rPr>
        <w:t>202</w:t>
      </w:r>
      <w:r>
        <w:rPr>
          <w:rFonts w:hint="eastAsia" w:ascii="仿宋_GB2312" w:hAnsi="宋体" w:eastAsia="仿宋_GB2312"/>
          <w:sz w:val="28"/>
          <w:szCs w:val="28"/>
        </w:rPr>
        <w:t xml:space="preserve">5年，农业农村部农产品质量安全监管司下发了《关于下达 </w:t>
      </w:r>
      <w:r>
        <w:rPr>
          <w:rFonts w:ascii="仿宋_GB2312" w:hAnsi="宋体" w:eastAsia="仿宋_GB2312"/>
          <w:sz w:val="28"/>
          <w:szCs w:val="28"/>
        </w:rPr>
        <w:t>202</w:t>
      </w:r>
      <w:r>
        <w:rPr>
          <w:rFonts w:hint="eastAsia" w:ascii="仿宋_GB2312" w:hAnsi="宋体" w:eastAsia="仿宋_GB2312"/>
          <w:sz w:val="28"/>
          <w:szCs w:val="28"/>
        </w:rPr>
        <w:t>5年第一批农业国家和行业标准制修订项目计划的通知》（农质标函〔</w:t>
      </w:r>
      <w:r>
        <w:rPr>
          <w:rFonts w:ascii="仿宋_GB2312" w:hAnsi="宋体" w:eastAsia="仿宋_GB2312"/>
          <w:sz w:val="28"/>
          <w:szCs w:val="28"/>
        </w:rPr>
        <w:t>202</w:t>
      </w:r>
      <w:r>
        <w:rPr>
          <w:rFonts w:hint="eastAsia" w:ascii="仿宋_GB2312" w:hAnsi="宋体" w:eastAsia="仿宋_GB2312"/>
          <w:sz w:val="28"/>
          <w:szCs w:val="28"/>
        </w:rPr>
        <w:t>5〕63号），其中将制定《村容村貌提升导则》列入</w:t>
      </w:r>
      <w:r>
        <w:rPr>
          <w:rFonts w:ascii="仿宋_GB2312" w:hAnsi="宋体" w:eastAsia="仿宋_GB2312"/>
          <w:sz w:val="28"/>
          <w:szCs w:val="28"/>
        </w:rPr>
        <w:t>202</w:t>
      </w:r>
      <w:r>
        <w:rPr>
          <w:rFonts w:hint="eastAsia" w:ascii="仿宋_GB2312" w:hAnsi="宋体" w:eastAsia="仿宋_GB2312"/>
          <w:sz w:val="28"/>
          <w:szCs w:val="28"/>
        </w:rPr>
        <w:t xml:space="preserve">5年农业国家和行业标准制修订计划项目，项目编号 </w:t>
      </w:r>
      <w:r>
        <w:rPr>
          <w:rFonts w:ascii="仿宋_GB2312" w:hAnsi="宋体" w:eastAsia="仿宋_GB2312"/>
          <w:sz w:val="28"/>
          <w:szCs w:val="28"/>
        </w:rPr>
        <w:t>NYB-2</w:t>
      </w:r>
      <w:r>
        <w:rPr>
          <w:rFonts w:hint="eastAsia" w:ascii="仿宋_GB2312" w:hAnsi="宋体" w:eastAsia="仿宋_GB2312"/>
          <w:sz w:val="28"/>
          <w:szCs w:val="28"/>
        </w:rPr>
        <w:t>5116，项目实施周期为一年，</w:t>
      </w:r>
      <w:r>
        <w:rPr>
          <w:rFonts w:hint="eastAsia" w:ascii="仿宋_GB2312" w:hAnsi="宋体" w:eastAsia="仿宋_GB2312"/>
          <w:sz w:val="28"/>
          <w:szCs w:val="28"/>
          <w:lang w:val="en-US" w:eastAsia="zh-CN"/>
        </w:rPr>
        <w:t>牵头</w:t>
      </w:r>
      <w:r>
        <w:rPr>
          <w:rFonts w:hint="eastAsia" w:ascii="仿宋_GB2312" w:hAnsi="宋体" w:eastAsia="仿宋_GB2312"/>
          <w:sz w:val="28"/>
          <w:szCs w:val="28"/>
        </w:rPr>
        <w:t>单位为</w:t>
      </w:r>
      <w:r>
        <w:rPr>
          <w:rFonts w:hint="eastAsia" w:ascii="仿宋_GB2312" w:hAnsi="宋体" w:eastAsia="仿宋_GB2312"/>
          <w:sz w:val="28"/>
          <w:szCs w:val="28"/>
          <w:lang w:val="en-US" w:eastAsia="zh-CN"/>
        </w:rPr>
        <w:t>农业农村部规划设计研究院</w:t>
      </w:r>
      <w:r>
        <w:rPr>
          <w:rFonts w:hint="eastAsia" w:ascii="仿宋_GB2312" w:hAnsi="宋体" w:eastAsia="仿宋_GB2312"/>
          <w:sz w:val="28"/>
          <w:szCs w:val="28"/>
        </w:rPr>
        <w:t>，标准技术归口单位为乡村建设促进司。</w:t>
      </w:r>
    </w:p>
    <w:p w14:paraId="003E0D42">
      <w:pPr>
        <w:widowControl/>
        <w:shd w:val="clear" w:color="auto"/>
        <w:spacing w:before="120" w:after="120"/>
        <w:jc w:val="left"/>
        <w:outlineLvl w:val="2"/>
        <w:rPr>
          <w:rFonts w:ascii="quote-cjk-patch" w:hAnsi="quote-cjk-patch" w:eastAsia="宋体" w:cs="宋体"/>
          <w:b/>
          <w:bCs/>
          <w:color w:val="0F1115"/>
          <w:kern w:val="0"/>
          <w:sz w:val="28"/>
          <w:szCs w:val="28"/>
        </w:rPr>
      </w:pPr>
      <w:bookmarkStart w:id="2" w:name="OLE_LINK69"/>
      <w:r>
        <w:rPr>
          <w:rFonts w:ascii="quote-cjk-patch" w:hAnsi="quote-cjk-patch" w:eastAsia="宋体" w:cs="宋体"/>
          <w:b/>
          <w:bCs/>
          <w:color w:val="0F1115"/>
          <w:kern w:val="0"/>
          <w:sz w:val="28"/>
          <w:szCs w:val="28"/>
        </w:rPr>
        <w:t>（二）制定背景</w:t>
      </w:r>
    </w:p>
    <w:bookmarkEnd w:id="2"/>
    <w:p w14:paraId="678F504D">
      <w:pPr>
        <w:widowControl/>
        <w:shd w:val="clear" w:color="auto"/>
        <w:spacing w:before="120" w:after="120"/>
        <w:jc w:val="left"/>
        <w:outlineLvl w:val="3"/>
        <w:rPr>
          <w:rFonts w:ascii="quote-cjk-patch" w:hAnsi="quote-cjk-patch" w:eastAsia="宋体" w:cs="宋体"/>
          <w:b/>
          <w:bCs/>
          <w:color w:val="0F1115"/>
          <w:kern w:val="0"/>
          <w:sz w:val="28"/>
          <w:szCs w:val="28"/>
        </w:rPr>
      </w:pPr>
      <w:r>
        <w:rPr>
          <w:rFonts w:ascii="quote-cjk-patch" w:hAnsi="quote-cjk-patch" w:eastAsia="宋体" w:cs="宋体"/>
          <w:b/>
          <w:bCs/>
          <w:color w:val="0F1115"/>
          <w:kern w:val="0"/>
          <w:sz w:val="28"/>
          <w:szCs w:val="28"/>
        </w:rPr>
        <w:t>1. 国家政策和技术依据</w:t>
      </w:r>
    </w:p>
    <w:p w14:paraId="4F1E1CA3">
      <w:pPr>
        <w:shd w:val="clear"/>
        <w:spacing w:line="360" w:lineRule="auto"/>
        <w:ind w:firstLine="425"/>
        <w:rPr>
          <w:rFonts w:ascii="仿宋_GB2312" w:hAnsi="宋体" w:eastAsia="仿宋_GB2312"/>
          <w:sz w:val="28"/>
          <w:szCs w:val="28"/>
        </w:rPr>
      </w:pPr>
      <w:r>
        <w:rPr>
          <w:rFonts w:hint="eastAsia" w:ascii="仿宋_GB2312" w:hAnsi="宋体" w:eastAsia="仿宋_GB2312"/>
          <w:sz w:val="28"/>
          <w:szCs w:val="28"/>
        </w:rPr>
        <w:t>习近平总书记指出“各地村庄格局风貌是历史上顺应地理、气候、人文条件延续而成的，要敬畏历史、敬畏文化、敬畏生态，留住乡风乡韵乡愁。”“把传统村落风貌和现代元素结合起来，坚持中华民族的审美情趣，把乡村建设得更美丽，让日子越过越开心、越幸福！”</w:t>
      </w:r>
    </w:p>
    <w:p w14:paraId="7F846D0A">
      <w:pPr>
        <w:shd w:val="clear"/>
        <w:spacing w:line="360" w:lineRule="auto"/>
        <w:ind w:firstLine="425"/>
        <w:rPr>
          <w:rFonts w:ascii="仿宋_GB2312" w:hAnsi="宋体" w:eastAsia="仿宋_GB2312"/>
          <w:sz w:val="28"/>
          <w:szCs w:val="28"/>
        </w:rPr>
      </w:pPr>
      <w:r>
        <w:rPr>
          <w:rFonts w:hint="eastAsia" w:ascii="仿宋_GB2312" w:hAnsi="宋体" w:eastAsia="仿宋_GB2312"/>
          <w:sz w:val="28"/>
          <w:szCs w:val="28"/>
        </w:rPr>
        <w:t>村容村貌提升是实施乡村建设行动的重要任务，事关村民生活品质提升，事关农村现代化，事关美丽中国建设。《乡村建设行动实施方案》提出乡村建设注重保护、体现特色，要求“加强乡村风貌引导，编制村容村貌提升导则”。2023年</w:t>
      </w:r>
      <w:r>
        <w:rPr>
          <w:rFonts w:hint="eastAsia" w:ascii="仿宋_GB2312" w:hAnsi="宋体" w:eastAsia="仿宋_GB2312"/>
          <w:sz w:val="28"/>
          <w:szCs w:val="28"/>
          <w:lang w:eastAsia="zh-CN"/>
        </w:rPr>
        <w:t>中央一号文件</w:t>
      </w:r>
      <w:r>
        <w:rPr>
          <w:rFonts w:hint="eastAsia" w:ascii="仿宋_GB2312" w:hAnsi="宋体" w:eastAsia="仿宋_GB2312"/>
          <w:sz w:val="28"/>
          <w:szCs w:val="28"/>
        </w:rPr>
        <w:t>要求“编制村容村貌提升导则，立足乡土特征、地域特点和民族特色提升村庄风貌”。2023年7月出台的</w:t>
      </w:r>
      <w:r>
        <w:rPr>
          <w:rFonts w:ascii="仿宋_GB2312" w:hAnsi="宋体" w:eastAsia="仿宋_GB2312"/>
          <w:sz w:val="28"/>
          <w:szCs w:val="28"/>
        </w:rPr>
        <w:t>《乡村振兴标准化行动方案》</w:t>
      </w:r>
      <w:r>
        <w:rPr>
          <w:rFonts w:hint="eastAsia" w:ascii="仿宋_GB2312" w:hAnsi="宋体" w:eastAsia="仿宋_GB2312"/>
          <w:sz w:val="28"/>
          <w:szCs w:val="28"/>
        </w:rPr>
        <w:t>中要求“</w:t>
      </w:r>
      <w:r>
        <w:rPr>
          <w:rFonts w:ascii="仿宋_GB2312" w:hAnsi="宋体" w:eastAsia="仿宋_GB2312"/>
          <w:sz w:val="28"/>
          <w:szCs w:val="28"/>
        </w:rPr>
        <w:t>研制乡村风貌引导、村容村貌提升、森林乡村建设和传统村落保护利用相关标准</w:t>
      </w:r>
      <w:r>
        <w:rPr>
          <w:rFonts w:hint="eastAsia" w:ascii="仿宋_GB2312" w:hAnsi="宋体" w:eastAsia="仿宋_GB2312"/>
          <w:sz w:val="28"/>
          <w:szCs w:val="28"/>
          <w:lang w:eastAsia="zh-CN"/>
        </w:rPr>
        <w:t>，</w:t>
      </w:r>
      <w:r>
        <w:rPr>
          <w:rFonts w:ascii="仿宋_GB2312" w:hAnsi="宋体" w:eastAsia="仿宋_GB2312"/>
          <w:sz w:val="28"/>
          <w:szCs w:val="28"/>
        </w:rPr>
        <w:t>引导村容村貌提升。</w:t>
      </w:r>
      <w:r>
        <w:rPr>
          <w:rFonts w:hint="eastAsia" w:ascii="仿宋_GB2312" w:hAnsi="宋体" w:eastAsia="仿宋_GB2312"/>
          <w:sz w:val="28"/>
          <w:szCs w:val="28"/>
        </w:rPr>
        <w:t>”</w:t>
      </w:r>
    </w:p>
    <w:p w14:paraId="00088414">
      <w:pPr>
        <w:shd w:val="clear"/>
        <w:spacing w:line="360" w:lineRule="auto"/>
        <w:ind w:firstLine="425"/>
        <w:rPr>
          <w:rFonts w:ascii="仿宋_GB2312" w:hAnsi="宋体" w:eastAsia="仿宋_GB2312"/>
          <w:sz w:val="28"/>
          <w:szCs w:val="28"/>
        </w:rPr>
      </w:pPr>
      <w:bookmarkStart w:id="3" w:name="OLE_LINK62"/>
      <w:r>
        <w:rPr>
          <w:rFonts w:ascii="仿宋_GB2312" w:hAnsi="宋体" w:eastAsia="仿宋_GB2312"/>
          <w:sz w:val="28"/>
          <w:szCs w:val="28"/>
        </w:rPr>
        <w:t>在技术层面，</w:t>
      </w:r>
      <w:bookmarkEnd w:id="3"/>
      <w:r>
        <w:rPr>
          <w:rFonts w:hint="eastAsia" w:ascii="仿宋_GB2312" w:hAnsi="宋体" w:eastAsia="仿宋_GB2312"/>
          <w:sz w:val="28"/>
          <w:szCs w:val="28"/>
        </w:rPr>
        <w:t>村容村貌涉及村庄道路、绿化、农房庭院等多项内容，</w:t>
      </w:r>
      <w:bookmarkStart w:id="4" w:name="OLE_LINK84"/>
      <w:r>
        <w:rPr>
          <w:rFonts w:ascii="仿宋_GB2312" w:hAnsi="宋体" w:eastAsia="仿宋_GB2312"/>
          <w:sz w:val="28"/>
          <w:szCs w:val="28"/>
        </w:rPr>
        <w:t>《乡村道路工程技术规范》</w:t>
      </w:r>
      <w:r>
        <w:rPr>
          <w:rFonts w:hint="eastAsia" w:ascii="仿宋_GB2312" w:hAnsi="宋体" w:eastAsia="仿宋_GB2312"/>
          <w:sz w:val="28"/>
          <w:szCs w:val="28"/>
        </w:rPr>
        <w:t>（</w:t>
      </w:r>
      <w:r>
        <w:rPr>
          <w:rFonts w:ascii="仿宋_GB2312" w:hAnsi="宋体" w:eastAsia="仿宋_GB2312"/>
          <w:sz w:val="28"/>
          <w:szCs w:val="28"/>
        </w:rPr>
        <w:t>GB/T51224</w:t>
      </w:r>
      <w:r>
        <w:rPr>
          <w:rFonts w:hint="eastAsia" w:ascii="仿宋_GB2312" w:hAnsi="宋体" w:eastAsia="仿宋_GB2312"/>
          <w:sz w:val="28"/>
          <w:szCs w:val="28"/>
        </w:rPr>
        <w:t>）、《小交通量农村公路工程技术标准》（JTG 2111）、</w:t>
      </w:r>
      <w:bookmarkStart w:id="5" w:name="OLE_LINK54"/>
      <w:r>
        <w:rPr>
          <w:rFonts w:hint="eastAsia" w:ascii="仿宋_GB2312" w:hAnsi="宋体" w:eastAsia="仿宋_GB2312"/>
          <w:sz w:val="28"/>
          <w:szCs w:val="28"/>
        </w:rPr>
        <w:t>《小交通量农村公路交通安全设施设计细则》（</w:t>
      </w:r>
      <w:bookmarkStart w:id="6" w:name="OLE_LINK53"/>
      <w:r>
        <w:rPr>
          <w:rFonts w:hint="eastAsia" w:ascii="仿宋_GB2312" w:hAnsi="宋体" w:eastAsia="仿宋_GB2312"/>
          <w:sz w:val="28"/>
          <w:szCs w:val="28"/>
        </w:rPr>
        <w:t>JTG</w:t>
      </w:r>
      <w:r>
        <w:rPr>
          <w:rFonts w:ascii="仿宋_GB2312" w:hAnsi="宋体" w:eastAsia="仿宋_GB2312"/>
          <w:sz w:val="28"/>
          <w:szCs w:val="28"/>
        </w:rPr>
        <w:t xml:space="preserve"> /</w:t>
      </w:r>
      <w:r>
        <w:rPr>
          <w:rFonts w:hint="eastAsia" w:ascii="仿宋_GB2312" w:hAnsi="宋体" w:eastAsia="仿宋_GB2312"/>
          <w:sz w:val="28"/>
          <w:szCs w:val="28"/>
        </w:rPr>
        <w:t>T 3381-03</w:t>
      </w:r>
      <w:bookmarkEnd w:id="6"/>
      <w:r>
        <w:rPr>
          <w:rFonts w:hint="eastAsia" w:ascii="仿宋_GB2312" w:hAnsi="宋体" w:eastAsia="仿宋_GB2312"/>
          <w:sz w:val="28"/>
          <w:szCs w:val="28"/>
        </w:rPr>
        <w:t>）、《乡村美丽庭院建设指南》（</w:t>
      </w:r>
      <w:bookmarkEnd w:id="5"/>
      <w:r>
        <w:rPr>
          <w:rFonts w:hint="eastAsia" w:ascii="仿宋_GB2312" w:hAnsi="宋体" w:eastAsia="仿宋_GB2312"/>
          <w:sz w:val="28"/>
          <w:szCs w:val="28"/>
        </w:rPr>
        <w:t>GB/T43561）、《乡村绿化技术规程》（GB/T44347）等</w:t>
      </w:r>
      <w:r>
        <w:rPr>
          <w:rFonts w:ascii="仿宋_GB2312" w:hAnsi="宋体" w:eastAsia="仿宋_GB2312"/>
          <w:sz w:val="28"/>
          <w:szCs w:val="28"/>
        </w:rPr>
        <w:t>标准</w:t>
      </w:r>
      <w:bookmarkEnd w:id="4"/>
      <w:r>
        <w:rPr>
          <w:rFonts w:hint="eastAsia" w:ascii="仿宋_GB2312" w:hAnsi="宋体" w:eastAsia="仿宋_GB2312"/>
          <w:sz w:val="28"/>
          <w:szCs w:val="28"/>
        </w:rPr>
        <w:t>规范</w:t>
      </w:r>
      <w:r>
        <w:rPr>
          <w:rFonts w:ascii="仿宋_GB2312" w:hAnsi="宋体" w:eastAsia="仿宋_GB2312"/>
          <w:sz w:val="28"/>
          <w:szCs w:val="28"/>
        </w:rPr>
        <w:t>相继发布，为本标准的制定提供了技术支撑和参考依据。</w:t>
      </w:r>
    </w:p>
    <w:p w14:paraId="61BF968E">
      <w:pPr>
        <w:widowControl/>
        <w:shd w:val="clear" w:color="auto"/>
        <w:spacing w:before="120" w:after="120"/>
        <w:jc w:val="left"/>
        <w:outlineLvl w:val="3"/>
        <w:rPr>
          <w:rFonts w:ascii="quote-cjk-patch" w:hAnsi="quote-cjk-patch" w:eastAsia="宋体" w:cs="宋体"/>
          <w:b/>
          <w:bCs/>
          <w:color w:val="0F1115"/>
          <w:kern w:val="0"/>
          <w:sz w:val="28"/>
          <w:szCs w:val="28"/>
        </w:rPr>
      </w:pPr>
      <w:r>
        <w:rPr>
          <w:rFonts w:ascii="quote-cjk-patch" w:hAnsi="quote-cjk-patch" w:eastAsia="宋体" w:cs="宋体"/>
          <w:b/>
          <w:bCs/>
          <w:color w:val="0F1115"/>
          <w:kern w:val="0"/>
          <w:sz w:val="28"/>
          <w:szCs w:val="28"/>
        </w:rPr>
        <w:t>2. 拟解决的主要问题</w:t>
      </w:r>
    </w:p>
    <w:p w14:paraId="0DFFB4A2">
      <w:pPr>
        <w:shd w:val="clear"/>
        <w:spacing w:line="360" w:lineRule="auto"/>
        <w:ind w:firstLine="425"/>
        <w:rPr>
          <w:rFonts w:ascii="仿宋_GB2312" w:hAnsi="宋体" w:eastAsia="仿宋_GB2312"/>
          <w:sz w:val="28"/>
          <w:szCs w:val="28"/>
        </w:rPr>
      </w:pPr>
      <w:bookmarkStart w:id="7" w:name="OLE_LINK66"/>
      <w:r>
        <w:rPr>
          <w:rFonts w:ascii="仿宋_GB2312" w:hAnsi="宋体" w:eastAsia="仿宋_GB2312"/>
          <w:sz w:val="28"/>
          <w:szCs w:val="28"/>
        </w:rPr>
        <w:t>（1）明确村容村貌提升的基本原则。当前各地在村容村貌建设中存在盲目照搬城市模式、忽视乡村特色、破坏自然肌理等问题，</w:t>
      </w:r>
      <w:r>
        <w:rPr>
          <w:rFonts w:hint="eastAsia" w:ascii="仿宋_GB2312" w:hAnsi="宋体" w:eastAsia="仿宋_GB2312"/>
          <w:sz w:val="28"/>
          <w:szCs w:val="28"/>
          <w:lang w:eastAsia="zh-CN"/>
        </w:rPr>
        <w:t>亟须</w:t>
      </w:r>
      <w:r>
        <w:rPr>
          <w:rFonts w:ascii="仿宋_GB2312" w:hAnsi="宋体" w:eastAsia="仿宋_GB2312"/>
          <w:sz w:val="28"/>
          <w:szCs w:val="28"/>
        </w:rPr>
        <w:t>确立一套符合乡村特点的提升原则，指导科学建设。</w:t>
      </w:r>
    </w:p>
    <w:p w14:paraId="25C1734F">
      <w:pPr>
        <w:shd w:val="clear"/>
        <w:spacing w:line="360" w:lineRule="auto"/>
        <w:ind w:firstLine="425"/>
        <w:rPr>
          <w:rFonts w:ascii="仿宋_GB2312" w:hAnsi="宋体" w:eastAsia="仿宋_GB2312"/>
          <w:sz w:val="28"/>
          <w:szCs w:val="28"/>
        </w:rPr>
      </w:pPr>
      <w:r>
        <w:rPr>
          <w:rFonts w:ascii="仿宋_GB2312" w:hAnsi="宋体" w:eastAsia="仿宋_GB2312"/>
          <w:sz w:val="28"/>
          <w:szCs w:val="28"/>
        </w:rPr>
        <w:t>（2）规范村容村貌提升的技术内容。</w:t>
      </w:r>
      <w:bookmarkStart w:id="27" w:name="_GoBack"/>
      <w:bookmarkEnd w:id="27"/>
      <w:r>
        <w:rPr>
          <w:rFonts w:hint="eastAsia" w:ascii="仿宋_GB2312" w:hAnsi="宋体" w:eastAsia="仿宋_GB2312"/>
          <w:sz w:val="28"/>
          <w:szCs w:val="28"/>
        </w:rPr>
        <w:t>细化</w:t>
      </w:r>
      <w:r>
        <w:rPr>
          <w:rFonts w:ascii="仿宋_GB2312" w:hAnsi="宋体" w:eastAsia="仿宋_GB2312"/>
          <w:sz w:val="28"/>
          <w:szCs w:val="28"/>
        </w:rPr>
        <w:t>道路街巷、农房庭院、公共空间、公用设施、绿化美化、自然环境等多类要素</w:t>
      </w:r>
      <w:r>
        <w:rPr>
          <w:rFonts w:hint="eastAsia" w:ascii="仿宋_GB2312" w:hAnsi="宋体" w:eastAsia="仿宋_GB2312"/>
          <w:color w:val="000000"/>
          <w:sz w:val="30"/>
          <w:szCs w:val="30"/>
        </w:rPr>
        <w:t>的建设指导</w:t>
      </w:r>
      <w:r>
        <w:rPr>
          <w:rFonts w:hint="eastAsia" w:ascii="仿宋_GB2312" w:hAnsi="宋体" w:eastAsia="仿宋_GB2312"/>
          <w:sz w:val="28"/>
          <w:szCs w:val="28"/>
        </w:rPr>
        <w:t>。</w:t>
      </w:r>
    </w:p>
    <w:bookmarkEnd w:id="7"/>
    <w:p w14:paraId="5EFB7236">
      <w:pPr>
        <w:widowControl/>
        <w:shd w:val="clear" w:color="auto"/>
        <w:spacing w:before="120" w:after="120"/>
        <w:jc w:val="left"/>
        <w:outlineLvl w:val="3"/>
        <w:rPr>
          <w:rFonts w:ascii="quote-cjk-patch" w:hAnsi="quote-cjk-patch" w:eastAsia="宋体" w:cs="宋体"/>
          <w:b/>
          <w:bCs/>
          <w:color w:val="0F1115"/>
          <w:kern w:val="0"/>
          <w:sz w:val="28"/>
          <w:szCs w:val="28"/>
        </w:rPr>
      </w:pPr>
      <w:r>
        <w:rPr>
          <w:rFonts w:ascii="quote-cjk-patch" w:hAnsi="quote-cjk-patch" w:eastAsia="宋体" w:cs="宋体"/>
          <w:b/>
          <w:bCs/>
          <w:color w:val="0F1115"/>
          <w:kern w:val="0"/>
          <w:sz w:val="28"/>
          <w:szCs w:val="28"/>
        </w:rPr>
        <w:t>3. 预期效益</w:t>
      </w:r>
    </w:p>
    <w:p w14:paraId="6F596C03">
      <w:pPr>
        <w:shd w:val="clear"/>
        <w:spacing w:line="360" w:lineRule="auto"/>
        <w:ind w:firstLine="425"/>
        <w:rPr>
          <w:rFonts w:ascii="仿宋_GB2312" w:hAnsi="宋体" w:eastAsia="仿宋_GB2312"/>
          <w:sz w:val="28"/>
          <w:szCs w:val="28"/>
        </w:rPr>
      </w:pPr>
      <w:bookmarkStart w:id="8" w:name="OLE_LINK67"/>
      <w:r>
        <w:rPr>
          <w:rFonts w:ascii="仿宋_GB2312" w:hAnsi="宋体" w:eastAsia="仿宋_GB2312"/>
          <w:sz w:val="28"/>
          <w:szCs w:val="28"/>
        </w:rPr>
        <w:t>本</w:t>
      </w:r>
      <w:r>
        <w:rPr>
          <w:rFonts w:hint="eastAsia" w:ascii="仿宋_GB2312" w:hAnsi="宋体" w:eastAsia="仿宋_GB2312"/>
          <w:sz w:val="28"/>
          <w:szCs w:val="28"/>
        </w:rPr>
        <w:t>导则</w:t>
      </w:r>
      <w:r>
        <w:rPr>
          <w:rFonts w:ascii="仿宋_GB2312" w:hAnsi="宋体" w:eastAsia="仿宋_GB2312"/>
          <w:sz w:val="28"/>
          <w:szCs w:val="28"/>
        </w:rPr>
        <w:t>的制定将填补村容村貌提升领域行业标准的空白，为各地提供系统、规范、可操作的技术指引。</w:t>
      </w:r>
      <w:r>
        <w:rPr>
          <w:rFonts w:hint="eastAsia" w:ascii="仿宋_GB2312" w:hAnsi="宋体" w:eastAsia="仿宋_GB2312"/>
          <w:sz w:val="28"/>
          <w:szCs w:val="28"/>
          <w:lang w:eastAsia="zh-CN"/>
        </w:rPr>
        <w:t>以期</w:t>
      </w:r>
      <w:r>
        <w:rPr>
          <w:rFonts w:ascii="仿宋_GB2312" w:hAnsi="宋体" w:eastAsia="仿宋_GB2312"/>
          <w:sz w:val="28"/>
          <w:szCs w:val="28"/>
        </w:rPr>
        <w:t>在提升农村人居环境、保护乡村风貌、促进乡村旅游发展、增强农民获得感等方面发挥重要作用。</w:t>
      </w:r>
    </w:p>
    <w:bookmarkEnd w:id="8"/>
    <w:p w14:paraId="5491AC98">
      <w:pPr>
        <w:widowControl/>
        <w:shd w:val="clear" w:color="auto"/>
        <w:spacing w:before="120" w:after="120"/>
        <w:jc w:val="left"/>
        <w:outlineLvl w:val="2"/>
        <w:rPr>
          <w:rFonts w:ascii="quote-cjk-patch" w:hAnsi="quote-cjk-patch" w:eastAsia="宋体" w:cs="宋体"/>
          <w:b/>
          <w:bCs/>
          <w:color w:val="0F1115"/>
          <w:kern w:val="0"/>
          <w:sz w:val="28"/>
          <w:szCs w:val="28"/>
        </w:rPr>
      </w:pPr>
      <w:r>
        <w:rPr>
          <w:rFonts w:ascii="quote-cjk-patch" w:hAnsi="quote-cjk-patch" w:eastAsia="宋体" w:cs="宋体"/>
          <w:b/>
          <w:bCs/>
          <w:color w:val="0F1115"/>
          <w:kern w:val="0"/>
          <w:sz w:val="28"/>
          <w:szCs w:val="28"/>
        </w:rPr>
        <w:t>（三）编制过程</w:t>
      </w:r>
    </w:p>
    <w:p w14:paraId="739726A5">
      <w:pPr>
        <w:widowControl/>
        <w:shd w:val="clear" w:color="auto"/>
        <w:spacing w:before="120" w:after="120"/>
        <w:jc w:val="left"/>
        <w:outlineLvl w:val="3"/>
        <w:rPr>
          <w:rFonts w:ascii="quote-cjk-patch" w:hAnsi="quote-cjk-patch" w:eastAsia="宋体" w:cs="宋体"/>
          <w:b/>
          <w:bCs/>
          <w:color w:val="0F1115"/>
          <w:kern w:val="0"/>
          <w:sz w:val="28"/>
          <w:szCs w:val="28"/>
        </w:rPr>
      </w:pPr>
      <w:r>
        <w:rPr>
          <w:rFonts w:ascii="quote-cjk-patch" w:hAnsi="quote-cjk-patch" w:eastAsia="宋体" w:cs="宋体"/>
          <w:b/>
          <w:bCs/>
          <w:color w:val="0F1115"/>
          <w:kern w:val="0"/>
          <w:sz w:val="28"/>
          <w:szCs w:val="28"/>
        </w:rPr>
        <w:t>1. 起草阶段</w:t>
      </w:r>
    </w:p>
    <w:p w14:paraId="5D660886">
      <w:pPr>
        <w:shd w:val="clear"/>
        <w:spacing w:line="360" w:lineRule="auto"/>
        <w:ind w:firstLine="425"/>
        <w:rPr>
          <w:rFonts w:hint="eastAsia" w:ascii="仿宋_GB2312" w:hAnsi="宋体" w:eastAsia="仿宋_GB2312"/>
          <w:sz w:val="28"/>
          <w:szCs w:val="28"/>
        </w:rPr>
      </w:pPr>
      <w:r>
        <w:rPr>
          <w:rFonts w:hint="eastAsia" w:ascii="仿宋_GB2312" w:hAnsi="宋体" w:eastAsia="仿宋_GB2312"/>
          <w:sz w:val="28"/>
          <w:szCs w:val="28"/>
        </w:rPr>
        <w:t>（1）标准起草小组</w:t>
      </w:r>
    </w:p>
    <w:p w14:paraId="2E61ECC6">
      <w:pPr>
        <w:shd w:val="clear"/>
        <w:spacing w:line="360" w:lineRule="auto"/>
        <w:ind w:firstLine="425"/>
        <w:rPr>
          <w:rFonts w:hint="eastAsia" w:ascii="仿宋_GB2312" w:hAnsi="宋体" w:eastAsia="仿宋_GB2312"/>
          <w:sz w:val="28"/>
          <w:szCs w:val="28"/>
        </w:rPr>
      </w:pPr>
      <w:r>
        <w:rPr>
          <w:rFonts w:hint="eastAsia" w:ascii="仿宋_GB2312" w:hAnsi="宋体" w:eastAsia="仿宋_GB2312"/>
          <w:sz w:val="28"/>
          <w:szCs w:val="28"/>
        </w:rPr>
        <w:t>本标准由农业农村部乡村建设促进司指导，中国城市规划设计研究院牵头，联合清华大学、天津大学、中国农科院农业经济与发展研究所、农业农村部规划设计研究院等单位，共同组成标准起草小组，分工协作推进编制工作。</w:t>
      </w:r>
    </w:p>
    <w:p w14:paraId="7DC53793">
      <w:pPr>
        <w:shd w:val="clear"/>
        <w:spacing w:line="360" w:lineRule="auto"/>
        <w:ind w:firstLine="425"/>
        <w:rPr>
          <w:rFonts w:hint="eastAsia" w:ascii="仿宋_GB2312" w:hAnsi="宋体" w:eastAsia="仿宋_GB2312"/>
          <w:sz w:val="28"/>
          <w:szCs w:val="28"/>
        </w:rPr>
      </w:pPr>
      <w:r>
        <w:rPr>
          <w:rFonts w:hint="eastAsia" w:ascii="仿宋_GB2312" w:hAnsi="宋体" w:eastAsia="仿宋_GB2312"/>
          <w:sz w:val="28"/>
          <w:szCs w:val="28"/>
        </w:rPr>
        <w:t>（2）标准研制实施方案</w:t>
      </w:r>
    </w:p>
    <w:p w14:paraId="11F205D4">
      <w:pPr>
        <w:shd w:val="clear"/>
        <w:spacing w:line="360" w:lineRule="auto"/>
        <w:ind w:firstLine="425"/>
        <w:rPr>
          <w:rFonts w:hint="eastAsia" w:ascii="仿宋_GB2312" w:hAnsi="宋体" w:eastAsia="仿宋_GB2312"/>
          <w:sz w:val="28"/>
          <w:szCs w:val="28"/>
        </w:rPr>
      </w:pPr>
      <w:r>
        <w:rPr>
          <w:rFonts w:hint="eastAsia" w:ascii="仿宋_GB2312" w:hAnsi="宋体" w:eastAsia="仿宋_GB2312"/>
          <w:sz w:val="28"/>
          <w:szCs w:val="28"/>
        </w:rPr>
        <w:t>标准起草工作按照资料收集、调研分析、大纲编制、内容撰写、内部研讨、专家咨询、修改完善等阶段有序推进。</w:t>
      </w:r>
    </w:p>
    <w:p w14:paraId="0CD66093">
      <w:pPr>
        <w:shd w:val="clear"/>
        <w:spacing w:line="360" w:lineRule="auto"/>
        <w:ind w:firstLine="425"/>
        <w:rPr>
          <w:rFonts w:hint="eastAsia" w:ascii="仿宋_GB2312" w:hAnsi="宋体" w:eastAsia="仿宋_GB2312"/>
          <w:sz w:val="28"/>
          <w:szCs w:val="28"/>
        </w:rPr>
      </w:pPr>
      <w:r>
        <w:rPr>
          <w:rFonts w:hint="eastAsia" w:ascii="仿宋_GB2312" w:hAnsi="宋体" w:eastAsia="仿宋_GB2312"/>
          <w:sz w:val="28"/>
          <w:szCs w:val="28"/>
        </w:rPr>
        <w:t>（3）标准主要内容确定和论证过程</w:t>
      </w:r>
    </w:p>
    <w:p w14:paraId="1743909E">
      <w:pPr>
        <w:shd w:val="clear"/>
        <w:spacing w:line="360" w:lineRule="auto"/>
        <w:ind w:firstLine="425"/>
        <w:rPr>
          <w:rFonts w:hint="eastAsia" w:ascii="仿宋_GB2312" w:hAnsi="宋体" w:eastAsia="仿宋_GB2312"/>
          <w:sz w:val="28"/>
          <w:szCs w:val="28"/>
        </w:rPr>
      </w:pPr>
      <w:r>
        <w:rPr>
          <w:rFonts w:hint="eastAsia" w:ascii="仿宋_GB2312" w:hAnsi="宋体" w:eastAsia="仿宋_GB2312"/>
          <w:sz w:val="28"/>
          <w:szCs w:val="28"/>
        </w:rPr>
        <w:t>2025年6月—2025年7月：收集国内乡村建设领域与村容村貌相关的技术标准，各省市出台的相关地方标准。</w:t>
      </w:r>
    </w:p>
    <w:p w14:paraId="160FAD21">
      <w:pPr>
        <w:shd w:val="clear"/>
        <w:spacing w:line="360" w:lineRule="auto"/>
        <w:ind w:firstLine="425"/>
        <w:rPr>
          <w:rFonts w:hint="eastAsia" w:ascii="仿宋_GB2312" w:hAnsi="宋体" w:eastAsia="仿宋_GB2312"/>
          <w:sz w:val="28"/>
          <w:szCs w:val="28"/>
        </w:rPr>
      </w:pPr>
      <w:r>
        <w:rPr>
          <w:rFonts w:hint="eastAsia" w:ascii="仿宋_GB2312" w:hAnsi="宋体" w:eastAsia="仿宋_GB2312"/>
          <w:sz w:val="28"/>
          <w:szCs w:val="28"/>
        </w:rPr>
        <w:t>2025年8月—2025年9月：</w:t>
      </w:r>
      <w:bookmarkStart w:id="9" w:name="OLE_LINK86"/>
      <w:r>
        <w:rPr>
          <w:rFonts w:hint="eastAsia" w:ascii="仿宋_GB2312" w:hAnsi="宋体" w:eastAsia="仿宋_GB2312"/>
          <w:sz w:val="28"/>
          <w:szCs w:val="28"/>
        </w:rPr>
        <w:t>赴江苏、浙江、广东、四川、河南、江西、新疆等地开展实地调研，了解不同类型村庄的村容村貌建设现状和实际需求。</w:t>
      </w:r>
    </w:p>
    <w:bookmarkEnd w:id="9"/>
    <w:p w14:paraId="72719983">
      <w:pPr>
        <w:shd w:val="clear"/>
        <w:spacing w:line="360" w:lineRule="auto"/>
        <w:ind w:firstLine="425"/>
        <w:rPr>
          <w:rFonts w:hint="eastAsia" w:ascii="仿宋_GB2312" w:hAnsi="宋体" w:eastAsia="仿宋_GB2312"/>
          <w:sz w:val="28"/>
          <w:szCs w:val="28"/>
        </w:rPr>
      </w:pPr>
      <w:r>
        <w:rPr>
          <w:rFonts w:hint="eastAsia" w:ascii="仿宋_GB2312" w:hAnsi="宋体" w:eastAsia="仿宋_GB2312"/>
          <w:sz w:val="28"/>
          <w:szCs w:val="28"/>
        </w:rPr>
        <w:t>2025年10月—2025年12月：确定标准框架，围绕道路街巷、农房庭院、公共空间等六类要素开展技术内容撰写。</w:t>
      </w:r>
    </w:p>
    <w:p w14:paraId="0B1B1E38">
      <w:pPr>
        <w:shd w:val="clear"/>
        <w:spacing w:line="360" w:lineRule="auto"/>
        <w:ind w:firstLine="425"/>
        <w:rPr>
          <w:rFonts w:hint="eastAsia" w:ascii="仿宋_GB2312" w:hAnsi="宋体" w:eastAsia="仿宋_GB2312"/>
          <w:sz w:val="28"/>
          <w:szCs w:val="28"/>
        </w:rPr>
      </w:pPr>
      <w:r>
        <w:rPr>
          <w:rFonts w:hint="eastAsia" w:ascii="仿宋_GB2312" w:hAnsi="宋体" w:eastAsia="仿宋_GB2312"/>
          <w:sz w:val="28"/>
          <w:szCs w:val="28"/>
        </w:rPr>
        <w:t>2026年1月—2026年2月：组织多次专家研讨会和起草单位内部讨论，形成标准讨论稿。</w:t>
      </w:r>
    </w:p>
    <w:p w14:paraId="18EF30F9">
      <w:pPr>
        <w:shd w:val="clear"/>
        <w:spacing w:line="360" w:lineRule="auto"/>
        <w:ind w:firstLine="425"/>
        <w:rPr>
          <w:rFonts w:ascii="仿宋_GB2312" w:hAnsi="宋体" w:eastAsia="仿宋_GB2312"/>
          <w:sz w:val="28"/>
          <w:szCs w:val="28"/>
        </w:rPr>
      </w:pPr>
      <w:r>
        <w:rPr>
          <w:rFonts w:hint="eastAsia" w:ascii="仿宋_GB2312" w:hAnsi="宋体" w:eastAsia="仿宋_GB2312"/>
          <w:sz w:val="28"/>
          <w:szCs w:val="28"/>
        </w:rPr>
        <w:t>2026年3月：结合专家意见修改完善，形成标准征求意见稿。</w:t>
      </w:r>
    </w:p>
    <w:p w14:paraId="09BC93F6">
      <w:pPr>
        <w:widowControl/>
        <w:shd w:val="clear" w:color="auto"/>
        <w:spacing w:before="120" w:after="120"/>
        <w:jc w:val="left"/>
        <w:outlineLvl w:val="3"/>
        <w:rPr>
          <w:rFonts w:ascii="quote-cjk-patch" w:hAnsi="quote-cjk-patch" w:eastAsia="宋体" w:cs="宋体"/>
          <w:b/>
          <w:bCs/>
          <w:color w:val="0F1115"/>
          <w:kern w:val="0"/>
          <w:sz w:val="28"/>
          <w:szCs w:val="28"/>
        </w:rPr>
      </w:pPr>
      <w:r>
        <w:rPr>
          <w:rFonts w:ascii="quote-cjk-patch" w:hAnsi="quote-cjk-patch" w:eastAsia="宋体" w:cs="宋体"/>
          <w:b/>
          <w:bCs/>
          <w:color w:val="0F1115"/>
          <w:kern w:val="0"/>
          <w:sz w:val="28"/>
          <w:szCs w:val="28"/>
        </w:rPr>
        <w:t>2. 征求意见阶段</w:t>
      </w:r>
    </w:p>
    <w:p w14:paraId="2284F466">
      <w:pPr>
        <w:widowControl/>
        <w:shd w:val="clear" w:color="auto"/>
        <w:spacing w:before="120" w:after="120"/>
        <w:jc w:val="left"/>
        <w:rPr>
          <w:rFonts w:ascii="仿宋_GB2312" w:hAnsi="宋体" w:eastAsia="仿宋_GB2312"/>
          <w:sz w:val="28"/>
          <w:szCs w:val="28"/>
        </w:rPr>
      </w:pPr>
      <w:r>
        <w:rPr>
          <w:rFonts w:ascii="仿宋_GB2312" w:hAnsi="宋体" w:eastAsia="仿宋_GB2312"/>
          <w:sz w:val="28"/>
          <w:szCs w:val="28"/>
        </w:rPr>
        <w:t>暂不涉及。</w:t>
      </w:r>
    </w:p>
    <w:p w14:paraId="61A0B116">
      <w:pPr>
        <w:widowControl/>
        <w:shd w:val="clear" w:color="auto"/>
        <w:spacing w:before="120" w:after="120"/>
        <w:jc w:val="left"/>
        <w:outlineLvl w:val="3"/>
        <w:rPr>
          <w:rFonts w:ascii="quote-cjk-patch" w:hAnsi="quote-cjk-patch" w:eastAsia="宋体" w:cs="宋体"/>
          <w:b/>
          <w:bCs/>
          <w:color w:val="0F1115"/>
          <w:kern w:val="0"/>
          <w:sz w:val="28"/>
          <w:szCs w:val="28"/>
        </w:rPr>
      </w:pPr>
      <w:r>
        <w:rPr>
          <w:rFonts w:ascii="quote-cjk-patch" w:hAnsi="quote-cjk-patch" w:eastAsia="宋体" w:cs="宋体"/>
          <w:b/>
          <w:bCs/>
          <w:color w:val="0F1115"/>
          <w:kern w:val="0"/>
          <w:sz w:val="28"/>
          <w:szCs w:val="28"/>
        </w:rPr>
        <w:t>3. 审查阶段</w:t>
      </w:r>
    </w:p>
    <w:p w14:paraId="6CB6967F">
      <w:pPr>
        <w:widowControl/>
        <w:shd w:val="clear" w:color="auto"/>
        <w:spacing w:before="120" w:after="120"/>
        <w:jc w:val="left"/>
        <w:rPr>
          <w:rFonts w:ascii="仿宋_GB2312" w:hAnsi="宋体" w:eastAsia="仿宋_GB2312"/>
          <w:sz w:val="28"/>
          <w:szCs w:val="28"/>
        </w:rPr>
      </w:pPr>
      <w:r>
        <w:rPr>
          <w:rFonts w:ascii="仿宋_GB2312" w:hAnsi="宋体" w:eastAsia="仿宋_GB2312"/>
          <w:sz w:val="28"/>
          <w:szCs w:val="28"/>
        </w:rPr>
        <w:t>暂不涉及。</w:t>
      </w:r>
    </w:p>
    <w:p w14:paraId="33B8697E">
      <w:pPr>
        <w:widowControl/>
        <w:shd w:val="clear" w:color="auto"/>
        <w:spacing w:before="120" w:after="120"/>
        <w:jc w:val="left"/>
        <w:outlineLvl w:val="3"/>
        <w:rPr>
          <w:rFonts w:ascii="quote-cjk-patch" w:hAnsi="quote-cjk-patch" w:eastAsia="宋体" w:cs="宋体"/>
          <w:b/>
          <w:bCs/>
          <w:color w:val="0F1115"/>
          <w:kern w:val="0"/>
          <w:sz w:val="28"/>
          <w:szCs w:val="28"/>
        </w:rPr>
      </w:pPr>
      <w:r>
        <w:rPr>
          <w:rFonts w:ascii="quote-cjk-patch" w:hAnsi="quote-cjk-patch" w:eastAsia="宋体" w:cs="宋体"/>
          <w:b/>
          <w:bCs/>
          <w:color w:val="0F1115"/>
          <w:kern w:val="0"/>
          <w:sz w:val="28"/>
          <w:szCs w:val="28"/>
        </w:rPr>
        <w:t>4. 报批阶段</w:t>
      </w:r>
    </w:p>
    <w:p w14:paraId="44B3DB38">
      <w:pPr>
        <w:widowControl/>
        <w:shd w:val="clear" w:color="auto"/>
        <w:spacing w:before="120" w:after="120"/>
        <w:jc w:val="left"/>
        <w:rPr>
          <w:rFonts w:ascii="仿宋_GB2312" w:hAnsi="宋体" w:eastAsia="仿宋_GB2312"/>
          <w:sz w:val="28"/>
          <w:szCs w:val="28"/>
        </w:rPr>
      </w:pPr>
      <w:r>
        <w:rPr>
          <w:rFonts w:ascii="仿宋_GB2312" w:hAnsi="宋体" w:eastAsia="仿宋_GB2312"/>
          <w:sz w:val="28"/>
          <w:szCs w:val="28"/>
        </w:rPr>
        <w:t>暂不涉及。</w:t>
      </w:r>
    </w:p>
    <w:p w14:paraId="42EDC205">
      <w:pPr>
        <w:widowControl/>
        <w:shd w:val="clear" w:color="auto"/>
        <w:spacing w:before="480" w:after="240"/>
        <w:jc w:val="left"/>
        <w:outlineLvl w:val="1"/>
        <w:rPr>
          <w:rFonts w:ascii="quote-cjk-patch" w:hAnsi="quote-cjk-patch" w:eastAsia="宋体" w:cs="宋体"/>
          <w:b/>
          <w:bCs/>
          <w:color w:val="0F1115"/>
          <w:kern w:val="0"/>
          <w:sz w:val="36"/>
          <w:szCs w:val="36"/>
        </w:rPr>
      </w:pPr>
      <w:r>
        <w:rPr>
          <w:rFonts w:ascii="quote-cjk-patch" w:hAnsi="quote-cjk-patch" w:eastAsia="宋体" w:cs="宋体"/>
          <w:b/>
          <w:bCs/>
          <w:color w:val="0F1115"/>
          <w:kern w:val="0"/>
          <w:sz w:val="36"/>
          <w:szCs w:val="36"/>
        </w:rPr>
        <w:t>二、标准编制原则、主要内容及其确定依据</w:t>
      </w:r>
    </w:p>
    <w:p w14:paraId="36390904">
      <w:pPr>
        <w:widowControl/>
        <w:shd w:val="clear" w:color="auto"/>
        <w:spacing w:before="120" w:after="120"/>
        <w:jc w:val="left"/>
        <w:outlineLvl w:val="2"/>
        <w:rPr>
          <w:rFonts w:ascii="quote-cjk-patch" w:hAnsi="quote-cjk-patch" w:eastAsia="宋体" w:cs="宋体"/>
          <w:b/>
          <w:bCs/>
          <w:color w:val="0F1115"/>
          <w:kern w:val="0"/>
          <w:sz w:val="28"/>
          <w:szCs w:val="28"/>
        </w:rPr>
      </w:pPr>
      <w:r>
        <w:rPr>
          <w:rFonts w:ascii="quote-cjk-patch" w:hAnsi="quote-cjk-patch" w:eastAsia="宋体" w:cs="宋体"/>
          <w:b/>
          <w:bCs/>
          <w:color w:val="0F1115"/>
          <w:kern w:val="0"/>
          <w:sz w:val="28"/>
          <w:szCs w:val="28"/>
        </w:rPr>
        <w:t>（一）编制原则</w:t>
      </w:r>
    </w:p>
    <w:p w14:paraId="451BB811">
      <w:pPr>
        <w:widowControl/>
        <w:shd w:val="clear" w:color="auto"/>
        <w:spacing w:before="120" w:after="120"/>
        <w:jc w:val="left"/>
        <w:outlineLvl w:val="3"/>
        <w:rPr>
          <w:rFonts w:ascii="quote-cjk-patch" w:hAnsi="quote-cjk-patch" w:eastAsia="宋体" w:cs="宋体"/>
          <w:b/>
          <w:bCs/>
          <w:color w:val="0F1115"/>
          <w:kern w:val="0"/>
          <w:sz w:val="28"/>
          <w:szCs w:val="28"/>
        </w:rPr>
      </w:pPr>
      <w:r>
        <w:rPr>
          <w:rFonts w:ascii="quote-cjk-patch" w:hAnsi="quote-cjk-patch" w:eastAsia="宋体" w:cs="宋体"/>
          <w:b/>
          <w:bCs/>
          <w:color w:val="0F1115"/>
          <w:kern w:val="0"/>
          <w:sz w:val="28"/>
          <w:szCs w:val="28"/>
        </w:rPr>
        <w:t>1. 规范性原则</w:t>
      </w:r>
    </w:p>
    <w:p w14:paraId="5371474E">
      <w:pPr>
        <w:shd w:val="clear"/>
        <w:spacing w:line="360" w:lineRule="auto"/>
        <w:ind w:firstLine="425"/>
        <w:rPr>
          <w:rFonts w:ascii="仿宋_GB2312" w:hAnsi="宋体" w:eastAsia="仿宋_GB2312"/>
          <w:sz w:val="28"/>
          <w:szCs w:val="28"/>
        </w:rPr>
      </w:pPr>
      <w:bookmarkStart w:id="10" w:name="OLE_LINK70"/>
      <w:r>
        <w:rPr>
          <w:rFonts w:ascii="仿宋_GB2312" w:hAnsi="宋体" w:eastAsia="仿宋_GB2312"/>
          <w:sz w:val="28"/>
          <w:szCs w:val="28"/>
        </w:rPr>
        <w:t>本标准在结构、格式、表述等方面严格遵循GB/T 1.1—2020《标准化工作导则 第1部分：标准化文件的结构和起草规则》的要求，确保标准文件的规范性和可操作性。</w:t>
      </w:r>
    </w:p>
    <w:bookmarkEnd w:id="10"/>
    <w:p w14:paraId="3BC96117">
      <w:pPr>
        <w:widowControl/>
        <w:shd w:val="clear" w:color="auto"/>
        <w:spacing w:before="120" w:after="120"/>
        <w:jc w:val="left"/>
        <w:outlineLvl w:val="3"/>
        <w:rPr>
          <w:rFonts w:ascii="quote-cjk-patch" w:hAnsi="quote-cjk-patch" w:eastAsia="宋体" w:cs="宋体"/>
          <w:b/>
          <w:bCs/>
          <w:color w:val="0F1115"/>
          <w:kern w:val="0"/>
          <w:sz w:val="28"/>
          <w:szCs w:val="28"/>
        </w:rPr>
      </w:pPr>
      <w:bookmarkStart w:id="11" w:name="OLE_LINK71"/>
      <w:r>
        <w:rPr>
          <w:rFonts w:ascii="quote-cjk-patch" w:hAnsi="quote-cjk-patch" w:eastAsia="宋体" w:cs="宋体"/>
          <w:b/>
          <w:bCs/>
          <w:color w:val="0F1115"/>
          <w:kern w:val="0"/>
          <w:sz w:val="28"/>
          <w:szCs w:val="28"/>
        </w:rPr>
        <w:t>2. 系统性原则</w:t>
      </w:r>
    </w:p>
    <w:bookmarkEnd w:id="11"/>
    <w:p w14:paraId="379E7C75">
      <w:pPr>
        <w:shd w:val="clear"/>
        <w:spacing w:line="360" w:lineRule="auto"/>
        <w:ind w:firstLine="425"/>
        <w:rPr>
          <w:rFonts w:ascii="仿宋_GB2312" w:hAnsi="宋体" w:eastAsia="仿宋_GB2312"/>
          <w:sz w:val="28"/>
          <w:szCs w:val="28"/>
        </w:rPr>
      </w:pPr>
      <w:r>
        <w:rPr>
          <w:rFonts w:ascii="仿宋_GB2312" w:hAnsi="宋体" w:eastAsia="仿宋_GB2312"/>
          <w:sz w:val="28"/>
          <w:szCs w:val="28"/>
        </w:rPr>
        <w:t>本标准涵盖村容村貌提升的六大要素，内容系统全面，结构合理，充分考虑与相关国家标准、行业标准的协调性，形成科学合理的标准体系。</w:t>
      </w:r>
    </w:p>
    <w:p w14:paraId="56196AD2">
      <w:pPr>
        <w:widowControl/>
        <w:shd w:val="clear" w:color="auto"/>
        <w:spacing w:before="120" w:after="120"/>
        <w:jc w:val="left"/>
        <w:outlineLvl w:val="3"/>
        <w:rPr>
          <w:rFonts w:ascii="quote-cjk-patch" w:hAnsi="quote-cjk-patch" w:eastAsia="宋体" w:cs="宋体"/>
          <w:b/>
          <w:bCs/>
          <w:color w:val="0F1115"/>
          <w:kern w:val="0"/>
          <w:sz w:val="28"/>
          <w:szCs w:val="28"/>
        </w:rPr>
      </w:pPr>
      <w:r>
        <w:rPr>
          <w:rFonts w:ascii="quote-cjk-patch" w:hAnsi="quote-cjk-patch" w:eastAsia="宋体" w:cs="宋体"/>
          <w:b/>
          <w:bCs/>
          <w:color w:val="0F1115"/>
          <w:kern w:val="0"/>
          <w:sz w:val="28"/>
          <w:szCs w:val="28"/>
        </w:rPr>
        <w:t>3. 针对性原则</w:t>
      </w:r>
    </w:p>
    <w:p w14:paraId="2823DDB8">
      <w:pPr>
        <w:shd w:val="clear"/>
        <w:spacing w:line="360" w:lineRule="auto"/>
        <w:ind w:firstLine="425"/>
        <w:rPr>
          <w:rFonts w:ascii="仿宋_GB2312" w:hAnsi="宋体" w:eastAsia="仿宋_GB2312"/>
          <w:sz w:val="28"/>
          <w:szCs w:val="28"/>
        </w:rPr>
      </w:pPr>
      <w:r>
        <w:rPr>
          <w:rFonts w:ascii="仿宋_GB2312" w:hAnsi="宋体" w:eastAsia="仿宋_GB2312"/>
          <w:sz w:val="28"/>
          <w:szCs w:val="28"/>
        </w:rPr>
        <w:t>本标准紧密结合</w:t>
      </w:r>
      <w:r>
        <w:rPr>
          <w:rFonts w:hint="eastAsia" w:ascii="仿宋_GB2312" w:hAnsi="宋体" w:eastAsia="仿宋_GB2312"/>
          <w:sz w:val="28"/>
          <w:szCs w:val="28"/>
        </w:rPr>
        <w:t>乡村建设</w:t>
      </w:r>
      <w:r>
        <w:rPr>
          <w:rFonts w:ascii="仿宋_GB2312" w:hAnsi="宋体" w:eastAsia="仿宋_GB2312"/>
          <w:sz w:val="28"/>
          <w:szCs w:val="28"/>
        </w:rPr>
        <w:t>实际，</w:t>
      </w:r>
      <w:r>
        <w:rPr>
          <w:rFonts w:hint="eastAsia" w:ascii="仿宋_GB2312" w:hAnsi="宋体" w:eastAsia="仿宋_GB2312"/>
          <w:sz w:val="28"/>
          <w:szCs w:val="28"/>
        </w:rPr>
        <w:t>聚焦各类要素</w:t>
      </w:r>
      <w:r>
        <w:rPr>
          <w:rFonts w:hint="eastAsia" w:ascii="仿宋_GB2312" w:hAnsi="宋体" w:eastAsia="仿宋_GB2312"/>
          <w:sz w:val="28"/>
          <w:szCs w:val="28"/>
          <w:lang w:eastAsia="zh-CN"/>
        </w:rPr>
        <w:t>在</w:t>
      </w:r>
      <w:r>
        <w:rPr>
          <w:rFonts w:hint="eastAsia" w:ascii="仿宋_GB2312" w:hAnsi="宋体" w:eastAsia="仿宋_GB2312"/>
          <w:sz w:val="28"/>
          <w:szCs w:val="28"/>
        </w:rPr>
        <w:t>形态、体量、色彩、材质等</w:t>
      </w:r>
      <w:r>
        <w:rPr>
          <w:rFonts w:ascii="仿宋_GB2312" w:hAnsi="宋体" w:eastAsia="仿宋_GB2312"/>
          <w:sz w:val="28"/>
          <w:szCs w:val="28"/>
        </w:rPr>
        <w:t>风貌</w:t>
      </w:r>
      <w:r>
        <w:rPr>
          <w:rFonts w:hint="eastAsia" w:ascii="仿宋_GB2312" w:hAnsi="宋体" w:eastAsia="仿宋_GB2312"/>
          <w:sz w:val="28"/>
          <w:szCs w:val="28"/>
        </w:rPr>
        <w:t>方面的要求</w:t>
      </w:r>
      <w:r>
        <w:rPr>
          <w:rFonts w:ascii="仿宋_GB2312" w:hAnsi="宋体" w:eastAsia="仿宋_GB2312"/>
          <w:sz w:val="28"/>
          <w:szCs w:val="28"/>
        </w:rPr>
        <w:t>，避免</w:t>
      </w:r>
      <w:r>
        <w:rPr>
          <w:rFonts w:hint="eastAsia" w:ascii="仿宋_GB2312" w:hAnsi="宋体" w:eastAsia="仿宋_GB2312"/>
          <w:sz w:val="28"/>
          <w:szCs w:val="28"/>
        </w:rPr>
        <w:t>大而全</w:t>
      </w:r>
      <w:r>
        <w:rPr>
          <w:rFonts w:ascii="仿宋_GB2312" w:hAnsi="宋体" w:eastAsia="仿宋_GB2312"/>
          <w:sz w:val="28"/>
          <w:szCs w:val="28"/>
        </w:rPr>
        <w:t>，确保技术内容具有较强的针对性和指导性。</w:t>
      </w:r>
    </w:p>
    <w:p w14:paraId="02FDB71C">
      <w:pPr>
        <w:widowControl/>
        <w:shd w:val="clear" w:color="auto"/>
        <w:spacing w:before="120" w:after="120"/>
        <w:jc w:val="left"/>
        <w:outlineLvl w:val="3"/>
        <w:rPr>
          <w:rFonts w:ascii="quote-cjk-patch" w:hAnsi="quote-cjk-patch" w:eastAsia="宋体" w:cs="宋体"/>
          <w:b/>
          <w:bCs/>
          <w:color w:val="0F1115"/>
          <w:kern w:val="0"/>
          <w:sz w:val="28"/>
          <w:szCs w:val="28"/>
        </w:rPr>
      </w:pPr>
      <w:r>
        <w:rPr>
          <w:rFonts w:ascii="quote-cjk-patch" w:hAnsi="quote-cjk-patch" w:eastAsia="宋体" w:cs="宋体"/>
          <w:b/>
          <w:bCs/>
          <w:color w:val="0F1115"/>
          <w:kern w:val="0"/>
          <w:sz w:val="28"/>
          <w:szCs w:val="28"/>
        </w:rPr>
        <w:t>4. 扩展性原则</w:t>
      </w:r>
    </w:p>
    <w:p w14:paraId="5A6669CA">
      <w:pPr>
        <w:shd w:val="clear"/>
        <w:spacing w:line="360" w:lineRule="auto"/>
        <w:ind w:firstLine="425"/>
        <w:rPr>
          <w:rFonts w:ascii="仿宋_GB2312" w:hAnsi="宋体" w:eastAsia="仿宋_GB2312"/>
          <w:sz w:val="28"/>
          <w:szCs w:val="28"/>
        </w:rPr>
      </w:pPr>
      <w:bookmarkStart w:id="12" w:name="OLE_LINK73"/>
      <w:r>
        <w:rPr>
          <w:rFonts w:ascii="仿宋_GB2312" w:hAnsi="宋体" w:eastAsia="仿宋_GB2312"/>
          <w:sz w:val="28"/>
          <w:szCs w:val="28"/>
        </w:rPr>
        <w:t>本</w:t>
      </w:r>
      <w:bookmarkStart w:id="13" w:name="OLE_LINK72"/>
      <w:r>
        <w:rPr>
          <w:rFonts w:ascii="仿宋_GB2312" w:hAnsi="宋体" w:eastAsia="仿宋_GB2312"/>
          <w:sz w:val="28"/>
          <w:szCs w:val="28"/>
        </w:rPr>
        <w:t>标准</w:t>
      </w:r>
      <w:bookmarkEnd w:id="13"/>
      <w:r>
        <w:rPr>
          <w:rFonts w:ascii="仿宋_GB2312" w:hAnsi="宋体" w:eastAsia="仿宋_GB2312"/>
          <w:sz w:val="28"/>
          <w:szCs w:val="28"/>
        </w:rPr>
        <w:t>在技术内容上留有拓展空间，鼓励各地结合实际细化要求，适应乡村振兴不断推进的实际需要。</w:t>
      </w:r>
    </w:p>
    <w:bookmarkEnd w:id="12"/>
    <w:p w14:paraId="25F54234">
      <w:pPr>
        <w:widowControl/>
        <w:shd w:val="clear" w:color="auto"/>
        <w:spacing w:before="120" w:after="120"/>
        <w:jc w:val="left"/>
        <w:outlineLvl w:val="2"/>
        <w:rPr>
          <w:rFonts w:ascii="quote-cjk-patch" w:hAnsi="quote-cjk-patch" w:eastAsia="宋体" w:cs="宋体"/>
          <w:b/>
          <w:bCs/>
          <w:color w:val="0F1115"/>
          <w:kern w:val="0"/>
          <w:sz w:val="28"/>
          <w:szCs w:val="28"/>
        </w:rPr>
      </w:pPr>
      <w:r>
        <w:rPr>
          <w:rFonts w:ascii="quote-cjk-patch" w:hAnsi="quote-cjk-patch" w:eastAsia="宋体" w:cs="宋体"/>
          <w:b/>
          <w:bCs/>
          <w:color w:val="0F1115"/>
          <w:kern w:val="0"/>
          <w:sz w:val="28"/>
          <w:szCs w:val="28"/>
        </w:rPr>
        <w:t>（二）标准主要内容</w:t>
      </w:r>
    </w:p>
    <w:p w14:paraId="4CF98AE0">
      <w:pPr>
        <w:widowControl/>
        <w:shd w:val="clear" w:color="auto"/>
        <w:spacing w:before="120" w:after="120"/>
        <w:jc w:val="left"/>
        <w:outlineLvl w:val="3"/>
        <w:rPr>
          <w:rFonts w:ascii="quote-cjk-patch" w:hAnsi="quote-cjk-patch" w:eastAsia="宋体" w:cs="宋体"/>
          <w:b/>
          <w:bCs/>
          <w:color w:val="0F1115"/>
          <w:kern w:val="0"/>
          <w:sz w:val="28"/>
          <w:szCs w:val="28"/>
        </w:rPr>
      </w:pPr>
      <w:r>
        <w:rPr>
          <w:rFonts w:ascii="quote-cjk-patch" w:hAnsi="quote-cjk-patch" w:eastAsia="宋体" w:cs="宋体"/>
          <w:b/>
          <w:bCs/>
          <w:color w:val="0F1115"/>
          <w:kern w:val="0"/>
          <w:sz w:val="28"/>
          <w:szCs w:val="28"/>
        </w:rPr>
        <w:t>1. 范围</w:t>
      </w:r>
    </w:p>
    <w:p w14:paraId="1C517FE1">
      <w:pPr>
        <w:shd w:val="clear"/>
        <w:spacing w:line="360" w:lineRule="auto"/>
        <w:ind w:firstLine="425"/>
        <w:rPr>
          <w:rFonts w:ascii="仿宋_GB2312" w:hAnsi="宋体" w:eastAsia="仿宋_GB2312"/>
          <w:sz w:val="28"/>
          <w:szCs w:val="28"/>
        </w:rPr>
      </w:pPr>
      <w:r>
        <w:rPr>
          <w:rFonts w:ascii="仿宋_GB2312" w:hAnsi="宋体" w:eastAsia="仿宋_GB2312"/>
          <w:sz w:val="28"/>
          <w:szCs w:val="28"/>
        </w:rPr>
        <w:t>本标准规定了村容村貌提升基本原则、总体要求，以及道路街巷、农房庭院、公共空间、公用设施、绿化美化、自然环境等六类要素的技术指引。适用于全国村庄村容村貌整体提升工作，可作为村庄规划编制、村容村貌设计与实施等相关工作的参考依据。</w:t>
      </w:r>
    </w:p>
    <w:p w14:paraId="7DA39FAB">
      <w:pPr>
        <w:widowControl/>
        <w:shd w:val="clear" w:color="auto"/>
        <w:spacing w:before="120" w:after="120"/>
        <w:jc w:val="left"/>
        <w:outlineLvl w:val="3"/>
        <w:rPr>
          <w:rFonts w:ascii="quote-cjk-patch" w:hAnsi="quote-cjk-patch" w:eastAsia="宋体" w:cs="宋体"/>
          <w:b/>
          <w:bCs/>
          <w:color w:val="0F1115"/>
          <w:kern w:val="0"/>
          <w:sz w:val="28"/>
          <w:szCs w:val="28"/>
        </w:rPr>
      </w:pPr>
      <w:r>
        <w:rPr>
          <w:rFonts w:ascii="quote-cjk-patch" w:hAnsi="quote-cjk-patch" w:eastAsia="宋体" w:cs="宋体"/>
          <w:b/>
          <w:bCs/>
          <w:color w:val="0F1115"/>
          <w:kern w:val="0"/>
          <w:sz w:val="28"/>
          <w:szCs w:val="28"/>
        </w:rPr>
        <w:t>2. 规范性引用文件</w:t>
      </w:r>
    </w:p>
    <w:p w14:paraId="1FE81B36">
      <w:pPr>
        <w:shd w:val="clear"/>
        <w:spacing w:line="360" w:lineRule="auto"/>
        <w:ind w:firstLine="425"/>
        <w:rPr>
          <w:rFonts w:hint="eastAsia" w:ascii="仿宋_GB2312" w:hAnsi="宋体" w:eastAsia="仿宋_GB2312"/>
          <w:sz w:val="28"/>
          <w:szCs w:val="28"/>
        </w:rPr>
      </w:pPr>
      <w:r>
        <w:rPr>
          <w:rFonts w:ascii="仿宋_GB2312" w:hAnsi="宋体" w:eastAsia="仿宋_GB2312"/>
          <w:sz w:val="28"/>
          <w:szCs w:val="28"/>
        </w:rPr>
        <w:t>本标准引用了《乡村道路工程技术规范》</w:t>
      </w:r>
      <w:r>
        <w:rPr>
          <w:rFonts w:hint="eastAsia" w:ascii="仿宋_GB2312" w:hAnsi="宋体" w:eastAsia="仿宋_GB2312"/>
          <w:sz w:val="28"/>
          <w:szCs w:val="28"/>
        </w:rPr>
        <w:t>（</w:t>
      </w:r>
      <w:r>
        <w:rPr>
          <w:rFonts w:ascii="仿宋_GB2312" w:hAnsi="宋体" w:eastAsia="仿宋_GB2312"/>
          <w:sz w:val="28"/>
          <w:szCs w:val="28"/>
        </w:rPr>
        <w:t>GB/T51224</w:t>
      </w:r>
      <w:r>
        <w:rPr>
          <w:rFonts w:hint="eastAsia" w:ascii="仿宋_GB2312" w:hAnsi="宋体" w:eastAsia="仿宋_GB2312"/>
          <w:sz w:val="28"/>
          <w:szCs w:val="28"/>
        </w:rPr>
        <w:t>）、《小交通量农村公路工程技术标准》（JTG 2111）、《小交通量农村公路交通安全设施设计细则》（JTG</w:t>
      </w:r>
      <w:r>
        <w:rPr>
          <w:rFonts w:ascii="仿宋_GB2312" w:hAnsi="宋体" w:eastAsia="仿宋_GB2312"/>
          <w:sz w:val="28"/>
          <w:szCs w:val="28"/>
        </w:rPr>
        <w:t>/</w:t>
      </w:r>
      <w:r>
        <w:rPr>
          <w:rFonts w:hint="eastAsia" w:ascii="仿宋_GB2312" w:hAnsi="宋体" w:eastAsia="仿宋_GB2312"/>
          <w:sz w:val="28"/>
          <w:szCs w:val="28"/>
        </w:rPr>
        <w:t>T3381-03）、《乡村美丽庭院建设指南》（GB/T43561）、《乡村绿化技术规程》（GB/T44347）等标准。引用标准最新版本（包括所有的修改单）适用于本标准。</w:t>
      </w:r>
    </w:p>
    <w:p w14:paraId="475D31A8">
      <w:pPr>
        <w:widowControl/>
        <w:shd w:val="clear" w:color="auto"/>
        <w:spacing w:before="120" w:after="120"/>
        <w:jc w:val="left"/>
        <w:outlineLvl w:val="3"/>
        <w:rPr>
          <w:rFonts w:ascii="quote-cjk-patch" w:hAnsi="quote-cjk-patch" w:eastAsia="宋体" w:cs="宋体"/>
          <w:b/>
          <w:bCs/>
          <w:color w:val="0F1115"/>
          <w:kern w:val="0"/>
          <w:sz w:val="28"/>
          <w:szCs w:val="28"/>
        </w:rPr>
      </w:pPr>
      <w:r>
        <w:rPr>
          <w:rFonts w:ascii="quote-cjk-patch" w:hAnsi="quote-cjk-patch" w:eastAsia="宋体" w:cs="宋体"/>
          <w:b/>
          <w:bCs/>
          <w:color w:val="0F1115"/>
          <w:kern w:val="0"/>
          <w:sz w:val="28"/>
          <w:szCs w:val="28"/>
        </w:rPr>
        <w:t>3. 术语和定义</w:t>
      </w:r>
    </w:p>
    <w:p w14:paraId="5D46D9CA">
      <w:pPr>
        <w:shd w:val="clear"/>
        <w:spacing w:line="360" w:lineRule="auto"/>
        <w:ind w:firstLine="425"/>
        <w:rPr>
          <w:rFonts w:ascii="仿宋_GB2312" w:hAnsi="宋体" w:eastAsia="仿宋_GB2312"/>
          <w:sz w:val="28"/>
          <w:szCs w:val="28"/>
        </w:rPr>
      </w:pPr>
      <w:r>
        <w:rPr>
          <w:rFonts w:ascii="仿宋_GB2312" w:hAnsi="宋体" w:eastAsia="仿宋_GB2312"/>
          <w:sz w:val="28"/>
          <w:szCs w:val="28"/>
        </w:rPr>
        <w:t>本标准</w:t>
      </w:r>
      <w:r>
        <w:rPr>
          <w:rFonts w:hint="eastAsia" w:ascii="仿宋_GB2312" w:hAnsi="宋体" w:eastAsia="仿宋_GB2312"/>
          <w:sz w:val="28"/>
          <w:szCs w:val="28"/>
        </w:rPr>
        <w:t>参照村庄风貌等学术概念，</w:t>
      </w:r>
      <w:r>
        <w:rPr>
          <w:rFonts w:ascii="仿宋_GB2312" w:hAnsi="宋体" w:eastAsia="仿宋_GB2312"/>
          <w:sz w:val="28"/>
          <w:szCs w:val="28"/>
        </w:rPr>
        <w:t>对“村容村貌”进行了定义，</w:t>
      </w:r>
      <w:r>
        <w:rPr>
          <w:rFonts w:hint="eastAsia" w:ascii="仿宋_GB2312" w:hAnsi="宋体" w:eastAsia="仿宋_GB2312"/>
          <w:sz w:val="28"/>
          <w:szCs w:val="28"/>
        </w:rPr>
        <w:t>强调村容村貌是基于地域自然环境和人文背景所形成的可感知的景观特征和文化内涵，</w:t>
      </w:r>
      <w:r>
        <w:rPr>
          <w:rFonts w:ascii="仿宋_GB2312" w:hAnsi="宋体" w:eastAsia="仿宋_GB2312"/>
          <w:sz w:val="28"/>
          <w:szCs w:val="28"/>
        </w:rPr>
        <w:t>明确其</w:t>
      </w:r>
      <w:r>
        <w:rPr>
          <w:rFonts w:hint="eastAsia" w:ascii="仿宋_GB2312" w:hAnsi="宋体" w:eastAsia="仿宋_GB2312"/>
          <w:sz w:val="28"/>
          <w:szCs w:val="28"/>
        </w:rPr>
        <w:t>包括</w:t>
      </w:r>
      <w:r>
        <w:rPr>
          <w:rFonts w:ascii="仿宋_GB2312" w:hAnsi="宋体" w:eastAsia="仿宋_GB2312"/>
          <w:sz w:val="28"/>
          <w:szCs w:val="28"/>
        </w:rPr>
        <w:t>路街巷、农房庭院、公共空间、公用设施、绿化美化、自然环境等要素。</w:t>
      </w:r>
    </w:p>
    <w:p w14:paraId="021DF979">
      <w:pPr>
        <w:widowControl/>
        <w:shd w:val="clear" w:color="auto"/>
        <w:spacing w:before="120" w:after="120"/>
        <w:jc w:val="left"/>
        <w:outlineLvl w:val="3"/>
        <w:rPr>
          <w:rFonts w:ascii="quote-cjk-patch" w:hAnsi="quote-cjk-patch" w:eastAsia="宋体" w:cs="宋体"/>
          <w:b/>
          <w:bCs/>
          <w:color w:val="0F1115"/>
          <w:kern w:val="0"/>
          <w:sz w:val="28"/>
          <w:szCs w:val="28"/>
        </w:rPr>
      </w:pPr>
      <w:r>
        <w:rPr>
          <w:rFonts w:ascii="quote-cjk-patch" w:hAnsi="quote-cjk-patch" w:eastAsia="宋体" w:cs="宋体"/>
          <w:b/>
          <w:bCs/>
          <w:color w:val="0F1115"/>
          <w:kern w:val="0"/>
          <w:sz w:val="28"/>
          <w:szCs w:val="28"/>
        </w:rPr>
        <w:t>4. 基本原则</w:t>
      </w:r>
    </w:p>
    <w:p w14:paraId="52F83753">
      <w:pPr>
        <w:shd w:val="clear"/>
        <w:spacing w:line="360" w:lineRule="auto"/>
        <w:ind w:firstLine="560" w:firstLineChars="200"/>
        <w:rPr>
          <w:rFonts w:ascii="仿宋_GB2312" w:hAnsi="宋体" w:eastAsia="仿宋_GB2312"/>
          <w:sz w:val="28"/>
          <w:szCs w:val="28"/>
        </w:rPr>
      </w:pPr>
      <w:bookmarkStart w:id="14" w:name="OLE_LINK76"/>
      <w:r>
        <w:rPr>
          <w:rFonts w:ascii="仿宋_GB2312" w:hAnsi="宋体" w:eastAsia="仿宋_GB2312"/>
          <w:sz w:val="28"/>
          <w:szCs w:val="28"/>
        </w:rPr>
        <w:t>本标准提出了融于自然、和谐共生；因地制宜、分类指导；立足乡土、彰显特色；循序渐进、有机更新；农民主体、多方参与等五项基本原则。</w:t>
      </w:r>
    </w:p>
    <w:bookmarkEnd w:id="14"/>
    <w:p w14:paraId="176F56FB">
      <w:pPr>
        <w:widowControl/>
        <w:shd w:val="clear" w:color="auto"/>
        <w:spacing w:before="120" w:after="120"/>
        <w:jc w:val="left"/>
        <w:outlineLvl w:val="3"/>
        <w:rPr>
          <w:rFonts w:ascii="quote-cjk-patch" w:hAnsi="quote-cjk-patch" w:eastAsia="宋体" w:cs="宋体"/>
          <w:b/>
          <w:bCs/>
          <w:color w:val="0F1115"/>
          <w:kern w:val="0"/>
          <w:sz w:val="28"/>
          <w:szCs w:val="28"/>
        </w:rPr>
      </w:pPr>
      <w:bookmarkStart w:id="15" w:name="OLE_LINK81"/>
      <w:r>
        <w:rPr>
          <w:rFonts w:ascii="quote-cjk-patch" w:hAnsi="quote-cjk-patch" w:eastAsia="宋体" w:cs="宋体"/>
          <w:b/>
          <w:bCs/>
          <w:color w:val="0F1115"/>
          <w:kern w:val="0"/>
          <w:sz w:val="28"/>
          <w:szCs w:val="28"/>
        </w:rPr>
        <w:t>5. 总体要求</w:t>
      </w:r>
    </w:p>
    <w:bookmarkEnd w:id="15"/>
    <w:p w14:paraId="25688DE9">
      <w:pPr>
        <w:widowControl/>
        <w:shd w:val="clear" w:color="auto"/>
        <w:spacing w:before="240" w:after="240"/>
        <w:ind w:firstLine="560" w:firstLineChars="200"/>
        <w:jc w:val="left"/>
        <w:rPr>
          <w:rFonts w:ascii="仿宋_GB2312" w:hAnsi="宋体" w:eastAsia="仿宋_GB2312"/>
          <w:sz w:val="28"/>
          <w:szCs w:val="28"/>
        </w:rPr>
      </w:pPr>
      <w:r>
        <w:rPr>
          <w:rFonts w:ascii="仿宋_GB2312" w:hAnsi="宋体" w:eastAsia="仿宋_GB2312"/>
          <w:sz w:val="28"/>
          <w:szCs w:val="28"/>
        </w:rPr>
        <w:t>突出村容村貌整体塑造，注重与自然环境的有机融合，保持延续村落组团、街巷路网、建筑院落等空间格局，提升风貌整体协调性。</w:t>
      </w:r>
    </w:p>
    <w:p w14:paraId="3718FC5C">
      <w:pPr>
        <w:widowControl/>
        <w:shd w:val="clear" w:color="auto"/>
        <w:spacing w:before="120" w:after="120"/>
        <w:jc w:val="left"/>
        <w:outlineLvl w:val="3"/>
        <w:rPr>
          <w:rFonts w:ascii="quote-cjk-patch" w:hAnsi="quote-cjk-patch" w:eastAsia="宋体" w:cs="宋体"/>
          <w:b/>
          <w:bCs/>
          <w:color w:val="0F1115"/>
          <w:kern w:val="0"/>
          <w:sz w:val="28"/>
          <w:szCs w:val="28"/>
        </w:rPr>
      </w:pPr>
      <w:r>
        <w:rPr>
          <w:rFonts w:ascii="quote-cjk-patch" w:hAnsi="quote-cjk-patch" w:eastAsia="宋体" w:cs="宋体"/>
          <w:b/>
          <w:bCs/>
          <w:color w:val="0F1115"/>
          <w:kern w:val="0"/>
          <w:sz w:val="28"/>
          <w:szCs w:val="28"/>
        </w:rPr>
        <w:t>6. 技术内容</w:t>
      </w:r>
    </w:p>
    <w:p w14:paraId="75E6663C">
      <w:pPr>
        <w:widowControl/>
        <w:shd w:val="clear" w:color="auto"/>
        <w:spacing w:before="120" w:after="120" w:line="360" w:lineRule="auto"/>
        <w:ind w:firstLine="560" w:firstLineChars="200"/>
        <w:jc w:val="left"/>
        <w:rPr>
          <w:rFonts w:ascii="仿宋_GB2312" w:hAnsi="宋体" w:eastAsia="仿宋_GB2312"/>
          <w:sz w:val="28"/>
          <w:szCs w:val="28"/>
        </w:rPr>
      </w:pPr>
      <w:r>
        <w:rPr>
          <w:rFonts w:hint="eastAsia" w:ascii="仿宋_GB2312" w:hAnsi="宋体" w:eastAsia="仿宋_GB2312"/>
          <w:sz w:val="28"/>
          <w:szCs w:val="28"/>
        </w:rPr>
        <w:t>导则包括7章，其中第1章为总则，阐述了导则的编制意义、基本原则、适用范围等内容。第2-7章分别针对</w:t>
      </w:r>
      <w:r>
        <w:rPr>
          <w:rFonts w:ascii="仿宋_GB2312" w:hAnsi="宋体" w:eastAsia="仿宋_GB2312"/>
          <w:sz w:val="28"/>
          <w:szCs w:val="28"/>
        </w:rPr>
        <w:t>道路街巷、农房庭院、公共空间、公用设施、绿化美化、自然环境六类要素</w:t>
      </w:r>
      <w:r>
        <w:rPr>
          <w:rFonts w:hint="eastAsia" w:ascii="仿宋_GB2312" w:hAnsi="宋体" w:eastAsia="仿宋_GB2312"/>
          <w:sz w:val="28"/>
          <w:szCs w:val="28"/>
        </w:rPr>
        <w:t>，在布局、设计、风貌管控等方面提出要求。</w:t>
      </w:r>
    </w:p>
    <w:p w14:paraId="54DF7489">
      <w:pPr>
        <w:widowControl/>
        <w:shd w:val="clear" w:color="auto"/>
        <w:spacing w:before="120" w:after="120" w:line="360" w:lineRule="auto"/>
        <w:ind w:firstLine="560" w:firstLineChars="200"/>
        <w:jc w:val="left"/>
        <w:rPr>
          <w:rFonts w:ascii="仿宋_GB2312" w:hAnsi="宋体" w:eastAsia="仿宋_GB2312"/>
          <w:sz w:val="28"/>
          <w:szCs w:val="28"/>
        </w:rPr>
      </w:pPr>
      <w:r>
        <w:rPr>
          <w:rFonts w:hint="eastAsia" w:ascii="仿宋_GB2312" w:hAnsi="宋体" w:eastAsia="仿宋_GB2312"/>
          <w:sz w:val="28"/>
          <w:szCs w:val="28"/>
        </w:rPr>
        <w:t>第2章</w:t>
      </w:r>
      <w:r>
        <w:rPr>
          <w:rFonts w:ascii="仿宋_GB2312" w:hAnsi="宋体" w:eastAsia="仿宋_GB2312"/>
          <w:sz w:val="28"/>
          <w:szCs w:val="28"/>
        </w:rPr>
        <w:t>明确了道路系统布局应顺应村庄肌理的基本要求，规范了通村公路、村内道路及特色道路的建设标准，对道路铺装、停车场及交通标识等配套设施提出技术指引。</w:t>
      </w:r>
    </w:p>
    <w:p w14:paraId="0305749F">
      <w:pPr>
        <w:widowControl/>
        <w:shd w:val="clear" w:color="auto"/>
        <w:spacing w:before="120" w:after="120" w:line="360" w:lineRule="auto"/>
        <w:ind w:firstLine="560" w:firstLineChars="200"/>
        <w:jc w:val="left"/>
        <w:rPr>
          <w:rFonts w:ascii="仿宋_GB2312" w:hAnsi="宋体" w:eastAsia="仿宋_GB2312"/>
          <w:sz w:val="28"/>
          <w:szCs w:val="28"/>
        </w:rPr>
      </w:pPr>
      <w:r>
        <w:rPr>
          <w:rFonts w:hint="eastAsia" w:ascii="仿宋_GB2312" w:hAnsi="宋体" w:eastAsia="仿宋_GB2312"/>
          <w:sz w:val="28"/>
          <w:szCs w:val="28"/>
        </w:rPr>
        <w:t>第3章</w:t>
      </w:r>
      <w:r>
        <w:rPr>
          <w:rFonts w:ascii="仿宋_GB2312" w:hAnsi="宋体" w:eastAsia="仿宋_GB2312"/>
          <w:sz w:val="28"/>
          <w:szCs w:val="28"/>
        </w:rPr>
        <w:t>规定了农房建设应体现地域特征与田园特色，明确了庭院设计需与村庄肌理、生态环境相协调，并对庭院绿化美化提出本地化应用要求。</w:t>
      </w:r>
    </w:p>
    <w:p w14:paraId="707E51E5">
      <w:pPr>
        <w:widowControl/>
        <w:shd w:val="clear" w:color="auto"/>
        <w:spacing w:before="120" w:after="120" w:line="360" w:lineRule="auto"/>
        <w:ind w:firstLine="560" w:firstLineChars="200"/>
        <w:jc w:val="left"/>
        <w:rPr>
          <w:rFonts w:ascii="仿宋_GB2312" w:hAnsi="宋体" w:eastAsia="仿宋_GB2312"/>
          <w:sz w:val="28"/>
          <w:szCs w:val="28"/>
        </w:rPr>
      </w:pPr>
      <w:r>
        <w:rPr>
          <w:rFonts w:hint="eastAsia" w:ascii="仿宋_GB2312" w:hAnsi="宋体" w:eastAsia="仿宋_GB2312"/>
          <w:sz w:val="28"/>
          <w:szCs w:val="28"/>
        </w:rPr>
        <w:t>第</w:t>
      </w:r>
      <w:r>
        <w:rPr>
          <w:rFonts w:ascii="仿宋_GB2312" w:hAnsi="宋体" w:eastAsia="仿宋_GB2312"/>
          <w:sz w:val="28"/>
          <w:szCs w:val="28"/>
        </w:rPr>
        <w:t>4</w:t>
      </w:r>
      <w:r>
        <w:rPr>
          <w:rFonts w:hint="eastAsia" w:ascii="仿宋_GB2312" w:hAnsi="宋体" w:eastAsia="仿宋_GB2312"/>
          <w:sz w:val="28"/>
          <w:szCs w:val="28"/>
        </w:rPr>
        <w:t>章</w:t>
      </w:r>
      <w:r>
        <w:rPr>
          <w:rFonts w:ascii="仿宋_GB2312" w:hAnsi="宋体" w:eastAsia="仿宋_GB2312"/>
          <w:sz w:val="28"/>
          <w:szCs w:val="28"/>
        </w:rPr>
        <w:t>提出了公共空间环境整治的主要内容，明确了村庄入口、广场、滨水等空间节点的优化方向，并对标识系统的规范化设置作出规定。</w:t>
      </w:r>
    </w:p>
    <w:p w14:paraId="5423426A">
      <w:pPr>
        <w:widowControl/>
        <w:shd w:val="clear" w:color="auto"/>
        <w:spacing w:before="120" w:after="120" w:line="360" w:lineRule="auto"/>
        <w:ind w:firstLine="560" w:firstLineChars="200"/>
        <w:jc w:val="left"/>
        <w:rPr>
          <w:rFonts w:ascii="仿宋_GB2312" w:hAnsi="宋体" w:eastAsia="仿宋_GB2312"/>
          <w:sz w:val="28"/>
          <w:szCs w:val="28"/>
        </w:rPr>
      </w:pPr>
      <w:r>
        <w:rPr>
          <w:rFonts w:hint="eastAsia" w:ascii="仿宋_GB2312" w:hAnsi="宋体" w:eastAsia="仿宋_GB2312"/>
          <w:sz w:val="28"/>
          <w:szCs w:val="28"/>
        </w:rPr>
        <w:t>第5章</w:t>
      </w:r>
      <w:r>
        <w:rPr>
          <w:rFonts w:ascii="仿宋_GB2312" w:hAnsi="宋体" w:eastAsia="仿宋_GB2312"/>
          <w:sz w:val="28"/>
          <w:szCs w:val="28"/>
        </w:rPr>
        <w:t>规范了电力、供水等公共基础设施的建设要求，鼓励地下埋设与小型化设计，明确了公共服务设施的布局原则及建筑风貌引导。</w:t>
      </w:r>
    </w:p>
    <w:p w14:paraId="0D1772CA">
      <w:pPr>
        <w:widowControl/>
        <w:shd w:val="clear" w:color="auto"/>
        <w:spacing w:before="120" w:after="120" w:line="360" w:lineRule="auto"/>
        <w:ind w:firstLine="560" w:firstLineChars="200"/>
        <w:jc w:val="left"/>
        <w:rPr>
          <w:rFonts w:ascii="仿宋_GB2312" w:hAnsi="宋体" w:eastAsia="仿宋_GB2312"/>
          <w:sz w:val="28"/>
          <w:szCs w:val="28"/>
        </w:rPr>
      </w:pPr>
      <w:r>
        <w:rPr>
          <w:rFonts w:hint="eastAsia" w:ascii="仿宋_GB2312" w:hAnsi="宋体" w:eastAsia="仿宋_GB2312"/>
          <w:sz w:val="28"/>
          <w:szCs w:val="28"/>
        </w:rPr>
        <w:t>第6章</w:t>
      </w:r>
      <w:r>
        <w:rPr>
          <w:rFonts w:ascii="仿宋_GB2312" w:hAnsi="宋体" w:eastAsia="仿宋_GB2312"/>
          <w:sz w:val="28"/>
          <w:szCs w:val="28"/>
        </w:rPr>
        <w:t>提出了公共绿地科学布局的基本要求，明确了“四旁”绿化的植物选择与配置原则，并对墙体、构筑物等美化内容作出技术指引。</w:t>
      </w:r>
    </w:p>
    <w:p w14:paraId="6562F671">
      <w:pPr>
        <w:widowControl/>
        <w:shd w:val="clear" w:color="auto"/>
        <w:spacing w:before="120" w:after="120" w:line="360" w:lineRule="auto"/>
        <w:ind w:firstLine="560" w:firstLineChars="200"/>
        <w:jc w:val="left"/>
        <w:rPr>
          <w:rFonts w:hint="eastAsia" w:ascii="quote-cjk-patch" w:hAnsi="quote-cjk-patch" w:eastAsia="宋体" w:cs="宋体"/>
          <w:color w:val="0F1115"/>
          <w:kern w:val="0"/>
          <w:sz w:val="24"/>
          <w:szCs w:val="24"/>
        </w:rPr>
      </w:pPr>
      <w:r>
        <w:rPr>
          <w:rFonts w:hint="eastAsia" w:ascii="仿宋_GB2312" w:hAnsi="宋体" w:eastAsia="仿宋_GB2312"/>
          <w:sz w:val="28"/>
          <w:szCs w:val="28"/>
        </w:rPr>
        <w:t>第7章</w:t>
      </w:r>
      <w:r>
        <w:rPr>
          <w:rFonts w:ascii="仿宋_GB2312" w:hAnsi="宋体" w:eastAsia="仿宋_GB2312"/>
          <w:sz w:val="28"/>
          <w:szCs w:val="28"/>
        </w:rPr>
        <w:t>规定了山体林相与水体环境的保护要求，明确了河道原生形态维护与生态修复的基本原则，并对田园风光整体保护提出技术导向。</w:t>
      </w:r>
    </w:p>
    <w:p w14:paraId="20FBEAE0">
      <w:pPr>
        <w:widowControl/>
        <w:shd w:val="clear" w:color="auto"/>
        <w:spacing w:before="120" w:after="120"/>
        <w:jc w:val="left"/>
        <w:outlineLvl w:val="2"/>
        <w:rPr>
          <w:rFonts w:ascii="quote-cjk-patch" w:hAnsi="quote-cjk-patch" w:eastAsia="宋体" w:cs="宋体"/>
          <w:b/>
          <w:bCs/>
          <w:color w:val="0F1115"/>
          <w:kern w:val="0"/>
          <w:sz w:val="28"/>
          <w:szCs w:val="28"/>
        </w:rPr>
      </w:pPr>
      <w:r>
        <w:rPr>
          <w:rFonts w:ascii="quote-cjk-patch" w:hAnsi="quote-cjk-patch" w:eastAsia="宋体" w:cs="宋体"/>
          <w:b/>
          <w:bCs/>
          <w:color w:val="0F1115"/>
          <w:kern w:val="0"/>
          <w:sz w:val="28"/>
          <w:szCs w:val="28"/>
        </w:rPr>
        <w:t>（三）主要内容确定依据</w:t>
      </w:r>
    </w:p>
    <w:p w14:paraId="7B6E5BFA">
      <w:pPr>
        <w:shd w:val="clear"/>
        <w:spacing w:line="360" w:lineRule="auto"/>
        <w:ind w:firstLine="560" w:firstLineChars="200"/>
        <w:rPr>
          <w:rFonts w:ascii="quote-cjk-patch" w:hAnsi="quote-cjk-patch" w:eastAsia="宋体" w:cs="宋体"/>
          <w:color w:val="0F1115"/>
          <w:kern w:val="0"/>
          <w:sz w:val="24"/>
          <w:szCs w:val="24"/>
        </w:rPr>
      </w:pPr>
      <w:r>
        <w:rPr>
          <w:rFonts w:ascii="仿宋_GB2312" w:hAnsi="宋体" w:eastAsia="仿宋_GB2312"/>
          <w:sz w:val="28"/>
          <w:szCs w:val="28"/>
        </w:rPr>
        <w:t>本标准在起草过程中，充分调研了全国不同类型村庄的村容村貌建设现状，收集整理了各地在“千万工程”实施、美丽乡村建设、传统村落保护等方面的典型经验和存在问题。在内容设计上，遵循“问题导向、分类指导”的思路，注重体现乡村特色、融合传统与现代。同时，借鉴了相关国家标准、行业标准和地方标准的先进做法，确保技术内容的科学性和可操作性。</w:t>
      </w:r>
      <w:r>
        <w:rPr>
          <w:rFonts w:hint="eastAsia" w:ascii="仿宋_GB2312" w:hAnsi="宋体" w:eastAsia="仿宋_GB2312"/>
          <w:sz w:val="28"/>
          <w:szCs w:val="28"/>
        </w:rPr>
        <w:t xml:space="preserve"> </w:t>
      </w:r>
      <w:r>
        <w:rPr>
          <w:rFonts w:hint="eastAsia" w:ascii="quote-cjk-patch" w:hAnsi="quote-cjk-patch" w:eastAsia="宋体" w:cs="宋体"/>
          <w:color w:val="0F1115"/>
          <w:kern w:val="0"/>
          <w:sz w:val="24"/>
          <w:szCs w:val="24"/>
        </w:rPr>
        <w:t xml:space="preserve">   </w:t>
      </w:r>
    </w:p>
    <w:p w14:paraId="642B1BBF">
      <w:pPr>
        <w:widowControl/>
        <w:shd w:val="clear" w:color="auto"/>
        <w:spacing w:before="120" w:after="120"/>
        <w:jc w:val="left"/>
        <w:outlineLvl w:val="3"/>
        <w:rPr>
          <w:rFonts w:ascii="quote-cjk-patch" w:hAnsi="quote-cjk-patch" w:eastAsia="宋体" w:cs="宋体"/>
          <w:b/>
          <w:bCs/>
          <w:color w:val="0F1115"/>
          <w:kern w:val="0"/>
          <w:sz w:val="28"/>
          <w:szCs w:val="28"/>
        </w:rPr>
      </w:pPr>
      <w:bookmarkStart w:id="16" w:name="OLE_LINK78"/>
      <w:r>
        <w:rPr>
          <w:rFonts w:ascii="quote-cjk-patch" w:hAnsi="quote-cjk-patch" w:eastAsia="宋体" w:cs="宋体"/>
          <w:b/>
          <w:bCs/>
          <w:color w:val="0F1115"/>
          <w:kern w:val="0"/>
          <w:sz w:val="28"/>
          <w:szCs w:val="28"/>
        </w:rPr>
        <w:t>1.</w:t>
      </w:r>
      <w:r>
        <w:rPr>
          <w:rFonts w:hint="eastAsia" w:ascii="quote-cjk-patch" w:hAnsi="quote-cjk-patch" w:eastAsia="宋体" w:cs="宋体"/>
          <w:b/>
          <w:bCs/>
          <w:color w:val="0F1115"/>
          <w:kern w:val="0"/>
          <w:sz w:val="28"/>
          <w:szCs w:val="28"/>
        </w:rPr>
        <w:t xml:space="preserve">以重要政策及技术规范为基本依据 </w:t>
      </w:r>
    </w:p>
    <w:p w14:paraId="5F239C51">
      <w:pPr>
        <w:shd w:val="clear"/>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国家政策层面，本标准遵循《中华人民共和国国民经济和社会发展第十五个五年规划纲要》《乡村全面振兴规划（</w:t>
      </w:r>
      <w:r>
        <w:rPr>
          <w:rFonts w:ascii="仿宋_GB2312" w:hAnsi="宋体" w:eastAsia="仿宋_GB2312"/>
          <w:sz w:val="28"/>
          <w:szCs w:val="28"/>
        </w:rPr>
        <w:t xml:space="preserve">2024-2027 </w:t>
      </w:r>
      <w:r>
        <w:rPr>
          <w:rFonts w:hint="eastAsia" w:ascii="仿宋_GB2312" w:hAnsi="宋体" w:eastAsia="仿宋_GB2312"/>
          <w:sz w:val="28"/>
          <w:szCs w:val="28"/>
        </w:rPr>
        <w:t>年）</w:t>
      </w:r>
      <w:r>
        <w:rPr>
          <w:rFonts w:hint="eastAsia" w:ascii="仿宋_GB2312" w:hAnsi="宋体" w:eastAsia="仿宋_GB2312"/>
          <w:sz w:val="28"/>
          <w:szCs w:val="28"/>
          <w:lang w:eastAsia="zh-CN"/>
        </w:rPr>
        <w:t>》《</w:t>
      </w:r>
      <w:r>
        <w:rPr>
          <w:rFonts w:hint="eastAsia" w:ascii="仿宋_GB2312" w:hAnsi="宋体" w:eastAsia="仿宋_GB2312"/>
          <w:sz w:val="28"/>
          <w:szCs w:val="28"/>
        </w:rPr>
        <w:t>乡村建设行动实施方案》等重要文件中的相关要求。</w:t>
      </w:r>
    </w:p>
    <w:p w14:paraId="004547B2">
      <w:pPr>
        <w:shd w:val="clear"/>
        <w:spacing w:line="360" w:lineRule="auto"/>
        <w:ind w:firstLine="560" w:firstLineChars="200"/>
        <w:rPr>
          <w:rFonts w:hint="eastAsia" w:ascii="仿宋_GB2312" w:hAnsi="宋体" w:eastAsia="仿宋_GB2312"/>
          <w:sz w:val="28"/>
          <w:szCs w:val="28"/>
        </w:rPr>
      </w:pPr>
      <w:r>
        <w:rPr>
          <w:rFonts w:hint="eastAsia" w:ascii="仿宋_GB2312" w:hAnsi="宋体" w:eastAsia="仿宋_GB2312"/>
          <w:sz w:val="28"/>
          <w:szCs w:val="28"/>
        </w:rPr>
        <w:t>技术层面，本标准严格按照《标准化工作导则 第1部分</w:t>
      </w:r>
      <w:r>
        <w:rPr>
          <w:rFonts w:hint="eastAsia" w:ascii="仿宋_GB2312" w:hAnsi="宋体" w:eastAsia="仿宋_GB2312"/>
          <w:sz w:val="28"/>
          <w:szCs w:val="28"/>
          <w:lang w:eastAsia="zh-CN"/>
        </w:rPr>
        <w:t>：</w:t>
      </w:r>
      <w:r>
        <w:rPr>
          <w:rFonts w:hint="eastAsia" w:ascii="仿宋_GB2312" w:hAnsi="宋体" w:eastAsia="仿宋_GB2312"/>
          <w:sz w:val="28"/>
          <w:szCs w:val="28"/>
        </w:rPr>
        <w:t>标准化文件的结构和起草规则》</w:t>
      </w:r>
      <w:r>
        <w:rPr>
          <w:rFonts w:hint="eastAsia" w:ascii="仿宋_GB2312" w:hAnsi="宋体" w:eastAsia="仿宋_GB2312"/>
          <w:sz w:val="28"/>
          <w:szCs w:val="28"/>
          <w:lang w:eastAsia="zh-CN"/>
        </w:rPr>
        <w:t>（</w:t>
      </w:r>
      <w:r>
        <w:rPr>
          <w:rFonts w:hint="eastAsia" w:ascii="仿宋_GB2312" w:hAnsi="宋体" w:eastAsia="仿宋_GB2312"/>
          <w:sz w:val="28"/>
          <w:szCs w:val="28"/>
        </w:rPr>
        <w:t>GB/T 1.1-2020</w:t>
      </w:r>
      <w:r>
        <w:rPr>
          <w:rFonts w:hint="eastAsia" w:ascii="仿宋_GB2312" w:hAnsi="宋体" w:eastAsia="仿宋_GB2312"/>
          <w:sz w:val="28"/>
          <w:szCs w:val="28"/>
          <w:lang w:eastAsia="zh-CN"/>
        </w:rPr>
        <w:t>）</w:t>
      </w:r>
      <w:r>
        <w:rPr>
          <w:rFonts w:hint="eastAsia" w:ascii="仿宋_GB2312" w:hAnsi="宋体" w:eastAsia="仿宋_GB2312"/>
          <w:sz w:val="28"/>
          <w:szCs w:val="28"/>
        </w:rPr>
        <w:t>的规定起草</w:t>
      </w:r>
      <w:r>
        <w:rPr>
          <w:rFonts w:hint="eastAsia" w:ascii="仿宋_GB2312" w:hAnsi="宋体" w:eastAsia="仿宋_GB2312"/>
          <w:sz w:val="28"/>
          <w:szCs w:val="28"/>
          <w:lang w:eastAsia="zh-CN"/>
        </w:rPr>
        <w:t>，</w:t>
      </w:r>
      <w:r>
        <w:rPr>
          <w:rFonts w:hint="eastAsia" w:ascii="仿宋_GB2312" w:hAnsi="宋体" w:eastAsia="仿宋_GB2312"/>
          <w:sz w:val="28"/>
          <w:szCs w:val="28"/>
        </w:rPr>
        <w:t>并与</w:t>
      </w:r>
      <w:r>
        <w:rPr>
          <w:rFonts w:ascii="仿宋_GB2312" w:hAnsi="宋体" w:eastAsia="仿宋_GB2312"/>
          <w:sz w:val="28"/>
          <w:szCs w:val="28"/>
        </w:rPr>
        <w:t>GB/T51224</w:t>
      </w:r>
      <w:r>
        <w:rPr>
          <w:rFonts w:hint="eastAsia" w:ascii="仿宋_GB2312" w:hAnsi="宋体" w:eastAsia="仿宋_GB2312"/>
          <w:sz w:val="28"/>
          <w:szCs w:val="28"/>
        </w:rPr>
        <w:t>、GB/T43561、</w:t>
      </w:r>
      <w:bookmarkStart w:id="17" w:name="OLE_LINK85"/>
      <w:r>
        <w:rPr>
          <w:rFonts w:hint="eastAsia" w:ascii="仿宋_GB2312" w:hAnsi="宋体" w:eastAsia="仿宋_GB2312"/>
          <w:sz w:val="28"/>
          <w:szCs w:val="28"/>
        </w:rPr>
        <w:t>GB/T44347</w:t>
      </w:r>
      <w:bookmarkEnd w:id="17"/>
      <w:r>
        <w:rPr>
          <w:rFonts w:hint="eastAsia" w:ascii="仿宋_GB2312" w:hAnsi="宋体" w:eastAsia="仿宋_GB2312"/>
          <w:sz w:val="28"/>
          <w:szCs w:val="28"/>
        </w:rPr>
        <w:t>、JTG 2111、JTG</w:t>
      </w:r>
      <w:r>
        <w:rPr>
          <w:rFonts w:ascii="仿宋_GB2312" w:hAnsi="宋体" w:eastAsia="仿宋_GB2312"/>
          <w:sz w:val="28"/>
          <w:szCs w:val="28"/>
        </w:rPr>
        <w:t xml:space="preserve"> /</w:t>
      </w:r>
      <w:r>
        <w:rPr>
          <w:rFonts w:hint="eastAsia" w:ascii="仿宋_GB2312" w:hAnsi="宋体" w:eastAsia="仿宋_GB2312"/>
          <w:sz w:val="28"/>
          <w:szCs w:val="28"/>
        </w:rPr>
        <w:t>T 3381-03等交通、绿化、庭院等方面的</w:t>
      </w:r>
      <w:r>
        <w:rPr>
          <w:rFonts w:ascii="仿宋_GB2312" w:hAnsi="宋体" w:eastAsia="仿宋_GB2312"/>
          <w:sz w:val="28"/>
          <w:szCs w:val="28"/>
        </w:rPr>
        <w:t>标准</w:t>
      </w:r>
      <w:r>
        <w:rPr>
          <w:rFonts w:hint="eastAsia" w:ascii="仿宋_GB2312" w:hAnsi="宋体" w:eastAsia="仿宋_GB2312"/>
          <w:sz w:val="28"/>
          <w:szCs w:val="28"/>
        </w:rPr>
        <w:t>衔接一致。</w:t>
      </w:r>
    </w:p>
    <w:p w14:paraId="65C1BEEF">
      <w:pPr>
        <w:widowControl/>
        <w:shd w:val="clear" w:color="auto"/>
        <w:spacing w:before="120" w:after="120"/>
        <w:jc w:val="left"/>
        <w:outlineLvl w:val="3"/>
        <w:rPr>
          <w:rFonts w:ascii="quote-cjk-patch" w:hAnsi="quote-cjk-patch" w:eastAsia="宋体" w:cs="宋体"/>
          <w:b/>
          <w:bCs/>
          <w:color w:val="0F1115"/>
          <w:kern w:val="0"/>
          <w:sz w:val="28"/>
          <w:szCs w:val="28"/>
        </w:rPr>
      </w:pPr>
      <w:r>
        <w:rPr>
          <w:rFonts w:hint="eastAsia" w:ascii="quote-cjk-patch" w:hAnsi="quote-cjk-patch" w:eastAsia="宋体" w:cs="宋体"/>
          <w:b/>
          <w:bCs/>
          <w:color w:val="0F1115"/>
          <w:kern w:val="0"/>
          <w:sz w:val="28"/>
          <w:szCs w:val="28"/>
          <w:lang w:eastAsia="zh-CN"/>
        </w:rPr>
        <w:t>2.</w:t>
      </w:r>
      <w:r>
        <w:rPr>
          <w:rFonts w:hint="eastAsia" w:ascii="quote-cjk-patch" w:hAnsi="quote-cjk-patch" w:eastAsia="宋体" w:cs="宋体"/>
          <w:b/>
          <w:bCs/>
          <w:color w:val="0F1115"/>
          <w:kern w:val="0"/>
          <w:sz w:val="28"/>
          <w:szCs w:val="28"/>
        </w:rPr>
        <w:t xml:space="preserve">以解决乡村建设和村容村貌提升中的痛点问题为导向 </w:t>
      </w:r>
    </w:p>
    <w:p w14:paraId="60303626">
      <w:pPr>
        <w:shd w:val="clear"/>
        <w:spacing w:line="360" w:lineRule="auto"/>
        <w:ind w:firstLine="560" w:firstLineChars="200"/>
        <w:rPr>
          <w:rFonts w:hint="eastAsia" w:ascii="quote-cjk-patch" w:hAnsi="quote-cjk-patch" w:eastAsia="宋体" w:cs="宋体"/>
          <w:color w:val="0F1115"/>
          <w:kern w:val="0"/>
          <w:sz w:val="24"/>
          <w:szCs w:val="24"/>
        </w:rPr>
      </w:pPr>
      <w:bookmarkStart w:id="18" w:name="OLE_LINK79"/>
      <w:r>
        <w:rPr>
          <w:rFonts w:ascii="仿宋_GB2312" w:hAnsi="宋体" w:eastAsia="仿宋_GB2312"/>
          <w:sz w:val="28"/>
          <w:szCs w:val="28"/>
        </w:rPr>
        <w:t>围绕我国乡村</w:t>
      </w:r>
      <w:r>
        <w:rPr>
          <w:rFonts w:hint="eastAsia" w:ascii="仿宋_GB2312" w:hAnsi="宋体" w:eastAsia="仿宋_GB2312"/>
          <w:sz w:val="28"/>
          <w:szCs w:val="28"/>
        </w:rPr>
        <w:t>建设</w:t>
      </w:r>
      <w:r>
        <w:rPr>
          <w:rFonts w:ascii="仿宋_GB2312" w:hAnsi="宋体" w:eastAsia="仿宋_GB2312"/>
          <w:sz w:val="28"/>
          <w:szCs w:val="28"/>
        </w:rPr>
        <w:t>中的突出矛盾，通过</w:t>
      </w:r>
      <w:r>
        <w:rPr>
          <w:rFonts w:hint="eastAsia" w:ascii="仿宋_GB2312" w:hAnsi="宋体" w:eastAsia="仿宋_GB2312"/>
          <w:sz w:val="28"/>
          <w:szCs w:val="28"/>
        </w:rPr>
        <w:t>基础文献整理、</w:t>
      </w:r>
      <w:r>
        <w:rPr>
          <w:rFonts w:ascii="仿宋_GB2312" w:hAnsi="宋体" w:eastAsia="仿宋_GB2312"/>
          <w:sz w:val="28"/>
          <w:szCs w:val="28"/>
        </w:rPr>
        <w:t>广泛的地方调研及多轮专家研讨，梳理</w:t>
      </w:r>
      <w:r>
        <w:rPr>
          <w:rFonts w:hint="eastAsia" w:ascii="仿宋_GB2312" w:hAnsi="宋体" w:eastAsia="仿宋_GB2312"/>
          <w:sz w:val="28"/>
          <w:szCs w:val="28"/>
        </w:rPr>
        <w:t>村容村貌提升需要解决</w:t>
      </w:r>
      <w:r>
        <w:rPr>
          <w:rFonts w:ascii="仿宋_GB2312" w:hAnsi="宋体" w:eastAsia="仿宋_GB2312"/>
          <w:sz w:val="28"/>
          <w:szCs w:val="28"/>
        </w:rPr>
        <w:t>的关键问题，并在</w:t>
      </w:r>
      <w:r>
        <w:rPr>
          <w:rFonts w:hint="eastAsia" w:ascii="仿宋_GB2312" w:hAnsi="宋体" w:eastAsia="仿宋_GB2312"/>
          <w:sz w:val="28"/>
          <w:szCs w:val="28"/>
        </w:rPr>
        <w:t>导则</w:t>
      </w:r>
      <w:r>
        <w:rPr>
          <w:rFonts w:ascii="仿宋_GB2312" w:hAnsi="宋体" w:eastAsia="仿宋_GB2312"/>
          <w:sz w:val="28"/>
          <w:szCs w:val="28"/>
        </w:rPr>
        <w:t>中予以针对性回应。</w:t>
      </w:r>
      <w:r>
        <w:rPr>
          <w:rFonts w:hint="eastAsia" w:ascii="仿宋_GB2312" w:hAnsi="宋体" w:eastAsia="仿宋_GB2312"/>
          <w:sz w:val="28"/>
          <w:szCs w:val="28"/>
        </w:rPr>
        <w:t>如村容村貌与自然环境融合不够，村庄布局与路网体系对自然肌理回应不足，缺乏与山水格局的有机衔接，整体风貌协调性有待加强。农房风貌的引导不足，新建农房体量过大，外立面趋同化明显</w:t>
      </w:r>
      <w:r>
        <w:rPr>
          <w:rFonts w:hint="eastAsia" w:ascii="仿宋_GB2312" w:hAnsi="宋体" w:eastAsia="仿宋_GB2312"/>
          <w:sz w:val="28"/>
          <w:szCs w:val="28"/>
          <w:lang w:eastAsia="zh-CN"/>
        </w:rPr>
        <w:t>，</w:t>
      </w:r>
      <w:r>
        <w:rPr>
          <w:rFonts w:hint="eastAsia" w:ascii="仿宋_GB2312" w:hAnsi="宋体" w:eastAsia="仿宋_GB2312"/>
          <w:sz w:val="28"/>
          <w:szCs w:val="28"/>
        </w:rPr>
        <w:t>传统建筑符号与地域文化特色逐步流失。</w:t>
      </w:r>
      <w:r>
        <w:rPr>
          <w:rFonts w:ascii="仿宋_GB2312" w:hAnsi="宋体" w:eastAsia="仿宋_GB2312"/>
          <w:sz w:val="28"/>
          <w:szCs w:val="28"/>
        </w:rPr>
        <w:t>设施</w:t>
      </w:r>
      <w:r>
        <w:rPr>
          <w:rFonts w:hint="eastAsia" w:ascii="仿宋_GB2312" w:hAnsi="宋体" w:eastAsia="仿宋_GB2312"/>
          <w:sz w:val="28"/>
          <w:szCs w:val="28"/>
        </w:rPr>
        <w:t>建设的风貌考虑不足，</w:t>
      </w:r>
      <w:bookmarkStart w:id="19" w:name="OLE_LINK80"/>
      <w:r>
        <w:rPr>
          <w:rFonts w:hint="eastAsia" w:ascii="仿宋_GB2312" w:hAnsi="宋体" w:eastAsia="仿宋_GB2312"/>
          <w:sz w:val="28"/>
          <w:szCs w:val="28"/>
        </w:rPr>
        <w:t>供电、排水等基础设施选型脱离乡村环境，与田园风貌不够协调</w:t>
      </w:r>
      <w:bookmarkEnd w:id="19"/>
      <w:r>
        <w:rPr>
          <w:rFonts w:hint="eastAsia" w:ascii="仿宋_GB2312" w:hAnsi="宋体" w:eastAsia="仿宋_GB2312"/>
          <w:sz w:val="28"/>
          <w:szCs w:val="28"/>
        </w:rPr>
        <w:t>，各类架空线缆杂乱交织，影响天际线与景观秩序。绿化景观营造</w:t>
      </w:r>
      <w:r>
        <w:rPr>
          <w:rFonts w:ascii="仿宋_GB2312" w:hAnsi="宋体" w:eastAsia="仿宋_GB2312"/>
          <w:sz w:val="28"/>
          <w:szCs w:val="28"/>
        </w:rPr>
        <w:t>不当</w:t>
      </w:r>
      <w:r>
        <w:rPr>
          <w:rFonts w:hint="eastAsia" w:ascii="仿宋_GB2312" w:hAnsi="宋体" w:eastAsia="仿宋_GB2312"/>
          <w:sz w:val="28"/>
          <w:szCs w:val="28"/>
        </w:rPr>
        <w:t>，绿化景观求洋、求精，乡土气息不够，树种选择与本地条件不符，导致建设周期反复、资源浪费。</w:t>
      </w:r>
      <w:bookmarkEnd w:id="16"/>
      <w:bookmarkEnd w:id="18"/>
    </w:p>
    <w:p w14:paraId="53CB8665">
      <w:pPr>
        <w:widowControl/>
        <w:shd w:val="clear" w:color="auto"/>
        <w:spacing w:before="480" w:after="240"/>
        <w:jc w:val="left"/>
        <w:outlineLvl w:val="1"/>
        <w:rPr>
          <w:rFonts w:ascii="quote-cjk-patch" w:hAnsi="quote-cjk-patch" w:eastAsia="宋体" w:cs="宋体"/>
          <w:b/>
          <w:bCs/>
          <w:color w:val="0F1115"/>
          <w:kern w:val="0"/>
          <w:sz w:val="36"/>
          <w:szCs w:val="36"/>
        </w:rPr>
      </w:pPr>
      <w:r>
        <w:rPr>
          <w:rFonts w:ascii="quote-cjk-patch" w:hAnsi="quote-cjk-patch" w:eastAsia="宋体" w:cs="宋体"/>
          <w:b/>
          <w:bCs/>
          <w:color w:val="0F1115"/>
          <w:kern w:val="0"/>
          <w:sz w:val="36"/>
          <w:szCs w:val="36"/>
        </w:rPr>
        <w:t>三、试验验证的分析、综述报告，技术经济论证，预期的经济效益、社会效益和生态效益</w:t>
      </w:r>
    </w:p>
    <w:p w14:paraId="41EFC535">
      <w:pPr>
        <w:widowControl/>
        <w:shd w:val="clear" w:color="auto"/>
        <w:spacing w:before="120" w:after="120"/>
        <w:jc w:val="left"/>
        <w:outlineLvl w:val="2"/>
        <w:rPr>
          <w:rFonts w:ascii="quote-cjk-patch" w:hAnsi="quote-cjk-patch" w:eastAsia="宋体" w:cs="宋体"/>
          <w:b/>
          <w:bCs/>
          <w:color w:val="0F1115"/>
          <w:kern w:val="0"/>
          <w:sz w:val="28"/>
          <w:szCs w:val="28"/>
        </w:rPr>
      </w:pPr>
      <w:bookmarkStart w:id="20" w:name="OLE_LINK93"/>
      <w:r>
        <w:rPr>
          <w:rFonts w:ascii="quote-cjk-patch" w:hAnsi="quote-cjk-patch" w:eastAsia="宋体" w:cs="宋体"/>
          <w:b/>
          <w:bCs/>
          <w:color w:val="0F1115"/>
          <w:kern w:val="0"/>
          <w:sz w:val="28"/>
          <w:szCs w:val="28"/>
        </w:rPr>
        <w:t>（一）试验或验证的分析、综述报告</w:t>
      </w:r>
    </w:p>
    <w:p w14:paraId="626E0330">
      <w:pPr>
        <w:shd w:val="clear"/>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为高质量推进《村容村貌提升导则》编制工作</w:t>
      </w:r>
      <w:r>
        <w:rPr>
          <w:rFonts w:hint="eastAsia" w:ascii="仿宋_GB2312" w:hAnsi="宋体" w:eastAsia="仿宋_GB2312"/>
          <w:sz w:val="28"/>
          <w:szCs w:val="28"/>
          <w:lang w:eastAsia="zh-CN"/>
        </w:rPr>
        <w:t>，由</w:t>
      </w:r>
      <w:r>
        <w:rPr>
          <w:rFonts w:hint="eastAsia" w:ascii="仿宋_GB2312" w:hAnsi="宋体" w:eastAsia="仿宋_GB2312"/>
          <w:sz w:val="28"/>
          <w:szCs w:val="28"/>
        </w:rPr>
        <w:t>农业农村部乡村建设促进司组织，中国城市规划设计研究院牵头，联合清华大学、天津大学、中国农科院农业经济与发展研究所、农业农村部规划设计研究院等</w:t>
      </w:r>
      <w:r>
        <w:rPr>
          <w:rFonts w:ascii="仿宋_GB2312" w:hAnsi="宋体" w:eastAsia="仿宋_GB2312"/>
          <w:sz w:val="28"/>
          <w:szCs w:val="28"/>
        </w:rPr>
        <w:t>单位</w:t>
      </w:r>
      <w:r>
        <w:rPr>
          <w:rFonts w:hint="eastAsia" w:ascii="仿宋_GB2312" w:hAnsi="宋体" w:eastAsia="仿宋_GB2312"/>
          <w:sz w:val="28"/>
          <w:szCs w:val="28"/>
        </w:rPr>
        <w:t>，</w:t>
      </w:r>
      <w:r>
        <w:rPr>
          <w:rFonts w:ascii="仿宋_GB2312" w:hAnsi="宋体" w:eastAsia="仿宋_GB2312"/>
          <w:sz w:val="28"/>
          <w:szCs w:val="28"/>
        </w:rPr>
        <w:t>共同组成标准起草小组。</w:t>
      </w:r>
      <w:r>
        <w:rPr>
          <w:rFonts w:hint="eastAsia" w:ascii="仿宋_GB2312" w:hAnsi="宋体" w:eastAsia="仿宋_GB2312"/>
          <w:sz w:val="28"/>
          <w:szCs w:val="28"/>
        </w:rPr>
        <w:t>编制组首先对全国各省市已出台的村容村貌相关导则、指南等政策和技术文件进行整理汇总，形成《地方村庄整治与村容村貌提升相关标准、导则、政策等文件汇编》。导则编制中，既充分吸纳了地方的创新性做法，又考虑</w:t>
      </w:r>
      <w:r>
        <w:rPr>
          <w:rFonts w:hint="eastAsia" w:ascii="仿宋_GB2312" w:hAnsi="宋体" w:eastAsia="仿宋_GB2312"/>
          <w:sz w:val="28"/>
          <w:szCs w:val="28"/>
          <w:lang w:eastAsia="zh-CN"/>
        </w:rPr>
        <w:t>到</w:t>
      </w:r>
      <w:r>
        <w:rPr>
          <w:rFonts w:hint="eastAsia" w:ascii="仿宋_GB2312" w:hAnsi="宋体" w:eastAsia="仿宋_GB2312"/>
          <w:sz w:val="28"/>
          <w:szCs w:val="28"/>
        </w:rPr>
        <w:t>全国性导则的适用范围和整体指导性，进行</w:t>
      </w:r>
      <w:r>
        <w:rPr>
          <w:rFonts w:hint="eastAsia" w:ascii="仿宋_GB2312" w:hAnsi="宋体" w:eastAsia="仿宋_GB2312"/>
          <w:sz w:val="28"/>
          <w:szCs w:val="28"/>
          <w:lang w:eastAsia="zh-CN"/>
        </w:rPr>
        <w:t>概括</w:t>
      </w:r>
      <w:r>
        <w:rPr>
          <w:rFonts w:hint="eastAsia" w:ascii="仿宋_GB2312" w:hAnsi="宋体" w:eastAsia="仿宋_GB2312"/>
          <w:sz w:val="28"/>
          <w:szCs w:val="28"/>
        </w:rPr>
        <w:t>和总结，删除过细的表述。</w:t>
      </w:r>
    </w:p>
    <w:bookmarkEnd w:id="20"/>
    <w:p w14:paraId="365CF488">
      <w:pPr>
        <w:shd w:val="clear"/>
        <w:spacing w:line="360" w:lineRule="auto"/>
        <w:ind w:firstLine="560" w:firstLineChars="200"/>
        <w:rPr>
          <w:rFonts w:hint="eastAsia" w:ascii="仿宋_GB2312" w:hAnsi="宋体" w:eastAsia="仿宋_GB2312"/>
          <w:sz w:val="28"/>
          <w:szCs w:val="28"/>
        </w:rPr>
      </w:pPr>
      <w:r>
        <w:rPr>
          <w:rFonts w:hint="eastAsia" w:ascii="仿宋_GB2312" w:hAnsi="宋体" w:eastAsia="仿宋_GB2312"/>
          <w:sz w:val="28"/>
          <w:szCs w:val="28"/>
        </w:rPr>
        <w:t>编制过程中，标准起草小组</w:t>
      </w:r>
      <w:bookmarkStart w:id="21" w:name="OLE_LINK90"/>
      <w:r>
        <w:rPr>
          <w:rFonts w:hint="eastAsia" w:ascii="仿宋_GB2312" w:hAnsi="宋体" w:eastAsia="仿宋_GB2312"/>
          <w:sz w:val="28"/>
          <w:szCs w:val="28"/>
        </w:rPr>
        <w:t>根据各地上报的村容村貌提升的典型案例，到</w:t>
      </w:r>
      <w:bookmarkEnd w:id="21"/>
      <w:bookmarkStart w:id="22" w:name="OLE_LINK91"/>
      <w:r>
        <w:rPr>
          <w:rFonts w:hint="eastAsia" w:ascii="仿宋_GB2312" w:hAnsi="宋体" w:eastAsia="仿宋_GB2312"/>
          <w:sz w:val="28"/>
          <w:szCs w:val="28"/>
        </w:rPr>
        <w:t>江苏、浙江、山西、四川、河南、江西、新疆等地开展实地调研，</w:t>
      </w:r>
      <w:bookmarkEnd w:id="22"/>
      <w:bookmarkStart w:id="23" w:name="OLE_LINK88"/>
      <w:r>
        <w:rPr>
          <w:rFonts w:hint="eastAsia" w:ascii="仿宋_GB2312" w:hAnsi="宋体" w:eastAsia="仿宋_GB2312"/>
          <w:sz w:val="28"/>
          <w:szCs w:val="28"/>
        </w:rPr>
        <w:t>从实践方面对导则内容</w:t>
      </w:r>
      <w:r>
        <w:rPr>
          <w:rFonts w:ascii="仿宋_GB2312" w:hAnsi="宋体" w:eastAsia="仿宋_GB2312"/>
          <w:sz w:val="28"/>
          <w:szCs w:val="28"/>
        </w:rPr>
        <w:t>的科学性</w:t>
      </w:r>
      <w:r>
        <w:rPr>
          <w:rFonts w:hint="eastAsia" w:ascii="仿宋_GB2312" w:hAnsi="宋体" w:eastAsia="仿宋_GB2312"/>
          <w:sz w:val="28"/>
          <w:szCs w:val="28"/>
        </w:rPr>
        <w:t>、</w:t>
      </w:r>
      <w:r>
        <w:rPr>
          <w:rFonts w:ascii="仿宋_GB2312" w:hAnsi="宋体" w:eastAsia="仿宋_GB2312"/>
          <w:sz w:val="28"/>
          <w:szCs w:val="28"/>
        </w:rPr>
        <w:t>适用性</w:t>
      </w:r>
      <w:r>
        <w:rPr>
          <w:rFonts w:hint="eastAsia" w:ascii="仿宋_GB2312" w:hAnsi="宋体" w:eastAsia="仿宋_GB2312"/>
          <w:sz w:val="28"/>
          <w:szCs w:val="28"/>
        </w:rPr>
        <w:t>进行验证</w:t>
      </w:r>
      <w:bookmarkEnd w:id="23"/>
      <w:r>
        <w:rPr>
          <w:rFonts w:hint="eastAsia" w:ascii="仿宋_GB2312" w:hAnsi="宋体" w:eastAsia="仿宋_GB2312"/>
          <w:sz w:val="28"/>
          <w:szCs w:val="28"/>
        </w:rPr>
        <w:t>，并形成《村提升典型案例汇编》。</w:t>
      </w:r>
      <w:bookmarkStart w:id="24" w:name="OLE_LINK92"/>
      <w:r>
        <w:rPr>
          <w:rFonts w:hint="eastAsia" w:ascii="仿宋_GB2312" w:hAnsi="宋体" w:eastAsia="仿宋_GB2312"/>
          <w:sz w:val="28"/>
          <w:szCs w:val="28"/>
        </w:rPr>
        <w:t>2025年12月在四川内江市召开的“全国乡村建设推进会”上，对《</w:t>
      </w:r>
      <w:bookmarkStart w:id="25" w:name="OLE_LINK89"/>
      <w:r>
        <w:rPr>
          <w:rFonts w:hint="eastAsia" w:ascii="仿宋_GB2312" w:hAnsi="宋体" w:eastAsia="仿宋_GB2312"/>
          <w:sz w:val="28"/>
          <w:szCs w:val="28"/>
        </w:rPr>
        <w:t>村</w:t>
      </w:r>
      <w:bookmarkEnd w:id="25"/>
      <w:r>
        <w:rPr>
          <w:rFonts w:hint="eastAsia" w:ascii="仿宋_GB2312" w:hAnsi="宋体" w:eastAsia="仿宋_GB2312"/>
          <w:sz w:val="28"/>
          <w:szCs w:val="28"/>
        </w:rPr>
        <w:t>容村貌导则》（初稿）进行讨论。</w:t>
      </w:r>
      <w:bookmarkEnd w:id="24"/>
    </w:p>
    <w:p w14:paraId="6F46BF17">
      <w:pPr>
        <w:widowControl/>
        <w:shd w:val="clear" w:color="auto"/>
        <w:spacing w:before="120" w:after="120"/>
        <w:jc w:val="left"/>
        <w:outlineLvl w:val="2"/>
        <w:rPr>
          <w:rFonts w:ascii="quote-cjk-patch" w:hAnsi="quote-cjk-patch" w:eastAsia="宋体" w:cs="宋体"/>
          <w:b/>
          <w:bCs/>
          <w:color w:val="0F1115"/>
          <w:kern w:val="0"/>
          <w:sz w:val="28"/>
          <w:szCs w:val="28"/>
        </w:rPr>
      </w:pPr>
      <w:bookmarkStart w:id="26" w:name="OLE_LINK94"/>
      <w:r>
        <w:rPr>
          <w:rFonts w:ascii="quote-cjk-patch" w:hAnsi="quote-cjk-patch" w:eastAsia="宋体" w:cs="宋体"/>
          <w:b/>
          <w:bCs/>
          <w:color w:val="0F1115"/>
          <w:kern w:val="0"/>
          <w:sz w:val="28"/>
          <w:szCs w:val="28"/>
        </w:rPr>
        <w:t>（</w:t>
      </w:r>
      <w:r>
        <w:rPr>
          <w:rFonts w:hint="eastAsia" w:ascii="quote-cjk-patch" w:hAnsi="quote-cjk-patch" w:eastAsia="宋体" w:cs="宋体"/>
          <w:b/>
          <w:bCs/>
          <w:color w:val="0F1115"/>
          <w:kern w:val="0"/>
          <w:sz w:val="28"/>
          <w:szCs w:val="28"/>
        </w:rPr>
        <w:t>二</w:t>
      </w:r>
      <w:r>
        <w:rPr>
          <w:rFonts w:ascii="quote-cjk-patch" w:hAnsi="quote-cjk-patch" w:eastAsia="宋体" w:cs="宋体"/>
          <w:b/>
          <w:bCs/>
          <w:color w:val="0F1115"/>
          <w:kern w:val="0"/>
          <w:sz w:val="28"/>
          <w:szCs w:val="28"/>
        </w:rPr>
        <w:t>）预期</w:t>
      </w:r>
      <w:r>
        <w:rPr>
          <w:rFonts w:hint="eastAsia" w:ascii="quote-cjk-patch" w:hAnsi="quote-cjk-patch" w:eastAsia="宋体" w:cs="宋体"/>
          <w:b/>
          <w:bCs/>
          <w:color w:val="0F1115"/>
          <w:kern w:val="0"/>
          <w:sz w:val="28"/>
          <w:szCs w:val="28"/>
        </w:rPr>
        <w:t>效益</w:t>
      </w:r>
    </w:p>
    <w:bookmarkEnd w:id="26"/>
    <w:p w14:paraId="419BC278">
      <w:pPr>
        <w:shd w:val="clear"/>
        <w:spacing w:line="360" w:lineRule="auto"/>
        <w:ind w:firstLine="425"/>
        <w:rPr>
          <w:rFonts w:ascii="仿宋_GB2312" w:hAnsi="宋体" w:eastAsia="仿宋_GB2312"/>
          <w:sz w:val="28"/>
          <w:szCs w:val="28"/>
        </w:rPr>
      </w:pPr>
      <w:r>
        <w:rPr>
          <w:rFonts w:ascii="仿宋_GB2312" w:hAnsi="宋体" w:eastAsia="仿宋_GB2312"/>
          <w:b/>
          <w:bCs/>
          <w:sz w:val="28"/>
          <w:szCs w:val="28"/>
        </w:rPr>
        <w:t>经济效益方面，</w:t>
      </w:r>
      <w:r>
        <w:rPr>
          <w:rFonts w:ascii="仿宋_GB2312" w:hAnsi="宋体" w:eastAsia="仿宋_GB2312"/>
          <w:sz w:val="28"/>
          <w:szCs w:val="28"/>
        </w:rPr>
        <w:t>通过提升村容村貌，改善农村人居环境，有助于发展乡村旅游、休闲农业等产业，带动农民增收和村集体经济发展。</w:t>
      </w:r>
    </w:p>
    <w:p w14:paraId="3605F79C">
      <w:pPr>
        <w:shd w:val="clear"/>
        <w:spacing w:line="360" w:lineRule="auto"/>
        <w:ind w:firstLine="425"/>
        <w:rPr>
          <w:rFonts w:ascii="仿宋_GB2312" w:hAnsi="宋体" w:eastAsia="仿宋_GB2312"/>
          <w:sz w:val="28"/>
          <w:szCs w:val="28"/>
        </w:rPr>
      </w:pPr>
      <w:r>
        <w:rPr>
          <w:rFonts w:ascii="仿宋_GB2312" w:hAnsi="宋体" w:eastAsia="仿宋_GB2312"/>
          <w:b/>
          <w:bCs/>
          <w:sz w:val="28"/>
          <w:szCs w:val="28"/>
        </w:rPr>
        <w:t>社会效益方面，</w:t>
      </w:r>
      <w:r>
        <w:rPr>
          <w:rFonts w:ascii="仿宋_GB2312" w:hAnsi="宋体" w:eastAsia="仿宋_GB2312"/>
          <w:sz w:val="28"/>
          <w:szCs w:val="28"/>
        </w:rPr>
        <w:t>增强乡村文化认同感和归属感，提升农民生活质量，促进乡村治理能力提升，增强乡村吸引力。</w:t>
      </w:r>
    </w:p>
    <w:p w14:paraId="081DBF9C">
      <w:pPr>
        <w:shd w:val="clear"/>
        <w:spacing w:line="360" w:lineRule="auto"/>
        <w:ind w:firstLine="425"/>
        <w:rPr>
          <w:rFonts w:ascii="仿宋_GB2312" w:hAnsi="宋体" w:eastAsia="仿宋_GB2312"/>
          <w:sz w:val="28"/>
          <w:szCs w:val="28"/>
        </w:rPr>
      </w:pPr>
      <w:r>
        <w:rPr>
          <w:rFonts w:ascii="仿宋_GB2312" w:hAnsi="宋体" w:eastAsia="仿宋_GB2312"/>
          <w:b/>
          <w:bCs/>
          <w:sz w:val="28"/>
          <w:szCs w:val="28"/>
        </w:rPr>
        <w:t>生态效益方面，</w:t>
      </w:r>
      <w:r>
        <w:rPr>
          <w:rFonts w:ascii="仿宋_GB2312" w:hAnsi="宋体" w:eastAsia="仿宋_GB2312"/>
          <w:sz w:val="28"/>
          <w:szCs w:val="28"/>
        </w:rPr>
        <w:t>通过保护自然山水格局、推进绿化美化、减少生态破坏，促进人与自然和谐共生，助力乡村生态文明建设。</w:t>
      </w:r>
    </w:p>
    <w:p w14:paraId="784C66A9">
      <w:pPr>
        <w:widowControl/>
        <w:shd w:val="clear" w:color="auto"/>
        <w:spacing w:before="480" w:after="240"/>
        <w:jc w:val="left"/>
        <w:outlineLvl w:val="1"/>
        <w:rPr>
          <w:rFonts w:ascii="quote-cjk-patch" w:hAnsi="quote-cjk-patch" w:eastAsia="宋体" w:cs="宋体"/>
          <w:b/>
          <w:bCs/>
          <w:color w:val="0F1115"/>
          <w:kern w:val="0"/>
          <w:sz w:val="36"/>
          <w:szCs w:val="36"/>
        </w:rPr>
      </w:pPr>
      <w:r>
        <w:rPr>
          <w:rFonts w:ascii="quote-cjk-patch" w:hAnsi="quote-cjk-patch" w:eastAsia="宋体" w:cs="宋体"/>
          <w:b/>
          <w:bCs/>
          <w:color w:val="0F1115"/>
          <w:kern w:val="0"/>
          <w:sz w:val="36"/>
          <w:szCs w:val="36"/>
        </w:rPr>
        <w:t>四、与国际、国外同类标准技术内容的对比情况，或者与测试的国外样品、样机的有关数据对比情况</w:t>
      </w:r>
    </w:p>
    <w:p w14:paraId="260B5AEE">
      <w:pPr>
        <w:shd w:val="clear"/>
        <w:spacing w:line="360" w:lineRule="auto"/>
        <w:ind w:firstLine="560" w:firstLineChars="200"/>
        <w:rPr>
          <w:rFonts w:ascii="仿宋_GB2312" w:hAnsi="宋体" w:eastAsia="仿宋_GB2312"/>
          <w:sz w:val="28"/>
          <w:szCs w:val="28"/>
        </w:rPr>
      </w:pPr>
      <w:r>
        <w:rPr>
          <w:rFonts w:ascii="仿宋_GB2312" w:hAnsi="宋体" w:eastAsia="仿宋_GB2312"/>
          <w:sz w:val="28"/>
          <w:szCs w:val="28"/>
        </w:rPr>
        <w:t>不涉及。</w:t>
      </w:r>
    </w:p>
    <w:p w14:paraId="1CAC27EB">
      <w:pPr>
        <w:widowControl/>
        <w:shd w:val="clear" w:color="auto"/>
        <w:spacing w:before="480" w:after="240"/>
        <w:jc w:val="left"/>
        <w:outlineLvl w:val="1"/>
        <w:rPr>
          <w:rFonts w:ascii="quote-cjk-patch" w:hAnsi="quote-cjk-patch" w:eastAsia="宋体" w:cs="宋体"/>
          <w:b/>
          <w:bCs/>
          <w:color w:val="0F1115"/>
          <w:kern w:val="0"/>
          <w:sz w:val="36"/>
          <w:szCs w:val="36"/>
        </w:rPr>
      </w:pPr>
      <w:r>
        <w:rPr>
          <w:rFonts w:ascii="quote-cjk-patch" w:hAnsi="quote-cjk-patch" w:eastAsia="宋体" w:cs="宋体"/>
          <w:b/>
          <w:bCs/>
          <w:color w:val="0F1115"/>
          <w:kern w:val="0"/>
          <w:sz w:val="36"/>
          <w:szCs w:val="36"/>
        </w:rPr>
        <w:t>五、以国际标准为基础的起草情况，以及是否合规引用或者采用国际国外标准，并说明未采用国际标准的原因</w:t>
      </w:r>
    </w:p>
    <w:p w14:paraId="1384127A">
      <w:pPr>
        <w:shd w:val="clear"/>
        <w:spacing w:line="360" w:lineRule="auto"/>
        <w:ind w:firstLine="560" w:firstLineChars="200"/>
        <w:rPr>
          <w:rFonts w:ascii="仿宋_GB2312" w:hAnsi="宋体" w:eastAsia="仿宋_GB2312"/>
          <w:sz w:val="28"/>
          <w:szCs w:val="28"/>
        </w:rPr>
      </w:pPr>
      <w:r>
        <w:rPr>
          <w:rFonts w:ascii="仿宋_GB2312" w:hAnsi="宋体" w:eastAsia="仿宋_GB2312"/>
          <w:sz w:val="28"/>
          <w:szCs w:val="28"/>
        </w:rPr>
        <w:t>本标准紧密结合我国乡村实际，未采用国际标准。</w:t>
      </w:r>
    </w:p>
    <w:p w14:paraId="4CC59D53">
      <w:pPr>
        <w:widowControl/>
        <w:shd w:val="clear" w:color="auto"/>
        <w:spacing w:before="480" w:after="240"/>
        <w:jc w:val="left"/>
        <w:outlineLvl w:val="1"/>
        <w:rPr>
          <w:rFonts w:ascii="quote-cjk-patch" w:hAnsi="quote-cjk-patch" w:eastAsia="宋体" w:cs="宋体"/>
          <w:b/>
          <w:bCs/>
          <w:color w:val="0F1115"/>
          <w:kern w:val="0"/>
          <w:sz w:val="36"/>
          <w:szCs w:val="36"/>
        </w:rPr>
      </w:pPr>
      <w:r>
        <w:rPr>
          <w:rFonts w:ascii="quote-cjk-patch" w:hAnsi="quote-cjk-patch" w:eastAsia="宋体" w:cs="宋体"/>
          <w:b/>
          <w:bCs/>
          <w:color w:val="0F1115"/>
          <w:kern w:val="0"/>
          <w:sz w:val="36"/>
          <w:szCs w:val="36"/>
        </w:rPr>
        <w:t>六、与有关法律、行政法规及相关标准的关系</w:t>
      </w:r>
    </w:p>
    <w:p w14:paraId="54314C2C">
      <w:pPr>
        <w:shd w:val="clear"/>
        <w:spacing w:line="360" w:lineRule="auto"/>
        <w:ind w:firstLine="560" w:firstLineChars="200"/>
        <w:rPr>
          <w:rFonts w:ascii="仿宋_GB2312" w:hAnsi="宋体" w:eastAsia="仿宋_GB2312"/>
          <w:sz w:val="28"/>
          <w:szCs w:val="28"/>
        </w:rPr>
      </w:pPr>
      <w:r>
        <w:rPr>
          <w:rFonts w:ascii="仿宋_GB2312" w:hAnsi="宋体" w:eastAsia="仿宋_GB2312"/>
          <w:sz w:val="28"/>
          <w:szCs w:val="28"/>
        </w:rPr>
        <w:t>本标准与</w:t>
      </w:r>
      <w:r>
        <w:rPr>
          <w:rFonts w:hint="eastAsia" w:ascii="仿宋_GB2312" w:hAnsi="宋体" w:eastAsia="仿宋_GB2312"/>
          <w:sz w:val="28"/>
          <w:szCs w:val="28"/>
        </w:rPr>
        <w:t>现行国家政策、行业标准之间无冲突</w:t>
      </w:r>
      <w:r>
        <w:rPr>
          <w:rFonts w:ascii="仿宋_GB2312" w:hAnsi="宋体" w:eastAsia="仿宋_GB2312"/>
          <w:sz w:val="28"/>
          <w:szCs w:val="28"/>
        </w:rPr>
        <w:t>。</w:t>
      </w:r>
    </w:p>
    <w:p w14:paraId="024417B8">
      <w:pPr>
        <w:widowControl/>
        <w:shd w:val="clear" w:color="auto"/>
        <w:spacing w:before="480" w:after="240"/>
        <w:jc w:val="left"/>
        <w:outlineLvl w:val="1"/>
        <w:rPr>
          <w:rFonts w:ascii="quote-cjk-patch" w:hAnsi="quote-cjk-patch" w:eastAsia="宋体" w:cs="宋体"/>
          <w:b/>
          <w:bCs/>
          <w:color w:val="0F1115"/>
          <w:kern w:val="0"/>
          <w:sz w:val="36"/>
          <w:szCs w:val="36"/>
        </w:rPr>
      </w:pPr>
      <w:r>
        <w:rPr>
          <w:rFonts w:ascii="quote-cjk-patch" w:hAnsi="quote-cjk-patch" w:eastAsia="宋体" w:cs="宋体"/>
          <w:b/>
          <w:bCs/>
          <w:color w:val="0F1115"/>
          <w:kern w:val="0"/>
          <w:sz w:val="36"/>
          <w:szCs w:val="36"/>
        </w:rPr>
        <w:t>七、重大分歧意见的处理经过和依据</w:t>
      </w:r>
    </w:p>
    <w:p w14:paraId="094E9842">
      <w:pPr>
        <w:shd w:val="clear"/>
        <w:spacing w:line="360" w:lineRule="auto"/>
        <w:ind w:firstLine="560" w:firstLineChars="200"/>
        <w:rPr>
          <w:rFonts w:ascii="仿宋_GB2312" w:hAnsi="宋体" w:eastAsia="仿宋_GB2312"/>
          <w:sz w:val="28"/>
          <w:szCs w:val="28"/>
        </w:rPr>
      </w:pPr>
      <w:r>
        <w:rPr>
          <w:rFonts w:ascii="仿宋_GB2312" w:hAnsi="宋体" w:eastAsia="仿宋_GB2312"/>
          <w:sz w:val="28"/>
          <w:szCs w:val="28"/>
        </w:rPr>
        <w:t>暂不涉及。</w:t>
      </w:r>
    </w:p>
    <w:p w14:paraId="2733C81D">
      <w:pPr>
        <w:widowControl/>
        <w:shd w:val="clear" w:color="auto"/>
        <w:spacing w:before="480" w:after="240"/>
        <w:jc w:val="left"/>
        <w:outlineLvl w:val="1"/>
        <w:rPr>
          <w:rFonts w:ascii="quote-cjk-patch" w:hAnsi="quote-cjk-patch" w:eastAsia="宋体" w:cs="宋体"/>
          <w:b/>
          <w:bCs/>
          <w:color w:val="0F1115"/>
          <w:kern w:val="0"/>
          <w:sz w:val="36"/>
          <w:szCs w:val="36"/>
        </w:rPr>
      </w:pPr>
      <w:r>
        <w:rPr>
          <w:rFonts w:ascii="quote-cjk-patch" w:hAnsi="quote-cjk-patch" w:eastAsia="宋体" w:cs="宋体"/>
          <w:b/>
          <w:bCs/>
          <w:color w:val="0F1115"/>
          <w:kern w:val="0"/>
          <w:sz w:val="36"/>
          <w:szCs w:val="36"/>
        </w:rPr>
        <w:t>八、涉及专利的有关说明</w:t>
      </w:r>
    </w:p>
    <w:p w14:paraId="0890CA7C">
      <w:pPr>
        <w:shd w:val="clear"/>
        <w:spacing w:line="360" w:lineRule="auto"/>
        <w:ind w:firstLine="560" w:firstLineChars="200"/>
        <w:rPr>
          <w:rFonts w:ascii="仿宋_GB2312" w:hAnsi="宋体" w:eastAsia="仿宋_GB2312"/>
          <w:sz w:val="28"/>
          <w:szCs w:val="28"/>
        </w:rPr>
      </w:pPr>
      <w:r>
        <w:rPr>
          <w:rFonts w:ascii="仿宋_GB2312" w:hAnsi="宋体" w:eastAsia="仿宋_GB2312"/>
          <w:sz w:val="28"/>
          <w:szCs w:val="28"/>
        </w:rPr>
        <w:t>暂不涉及。</w:t>
      </w:r>
    </w:p>
    <w:p w14:paraId="35B4A5FE">
      <w:pPr>
        <w:widowControl/>
        <w:shd w:val="clear" w:color="auto"/>
        <w:spacing w:before="480" w:after="240"/>
        <w:jc w:val="left"/>
        <w:outlineLvl w:val="1"/>
        <w:rPr>
          <w:rFonts w:ascii="quote-cjk-patch" w:hAnsi="quote-cjk-patch" w:eastAsia="宋体" w:cs="宋体"/>
          <w:b/>
          <w:bCs/>
          <w:color w:val="0F1115"/>
          <w:kern w:val="0"/>
          <w:sz w:val="36"/>
          <w:szCs w:val="36"/>
        </w:rPr>
      </w:pPr>
      <w:r>
        <w:rPr>
          <w:rFonts w:ascii="quote-cjk-patch" w:hAnsi="quote-cjk-patch" w:eastAsia="宋体" w:cs="宋体"/>
          <w:b/>
          <w:bCs/>
          <w:color w:val="0F1115"/>
          <w:kern w:val="0"/>
          <w:sz w:val="36"/>
          <w:szCs w:val="36"/>
        </w:rPr>
        <w:t>九、实施标准的要求，以及组织措施、技术措施、过渡期和实施日期的建议等措施建议</w:t>
      </w:r>
    </w:p>
    <w:p w14:paraId="6E50C02C">
      <w:pPr>
        <w:shd w:val="clear"/>
        <w:spacing w:line="360" w:lineRule="auto"/>
        <w:ind w:firstLine="560" w:firstLineChars="200"/>
        <w:rPr>
          <w:rFonts w:ascii="仿宋_GB2312" w:hAnsi="宋体" w:eastAsia="仿宋_GB2312"/>
          <w:sz w:val="28"/>
          <w:szCs w:val="28"/>
        </w:rPr>
      </w:pPr>
      <w:r>
        <w:rPr>
          <w:rFonts w:ascii="仿宋_GB2312" w:hAnsi="宋体" w:eastAsia="仿宋_GB2312"/>
          <w:sz w:val="28"/>
          <w:szCs w:val="28"/>
        </w:rPr>
        <w:t>本标准以农业行业推荐性标准发布。建议在各地乡村建设行动、村庄规划编制、人居环境整治提升等工作中推广应用。鼓励各地结合实际细化技术内容，形成地方标准和实施细则。在实施过程中，应加强对技术人员的培训，建立健全评估反馈机制，不断提升标准的适用性和有效性。</w:t>
      </w:r>
    </w:p>
    <w:p w14:paraId="2AE957AA">
      <w:pPr>
        <w:widowControl/>
        <w:shd w:val="clear" w:color="auto"/>
        <w:spacing w:before="480" w:after="240"/>
        <w:jc w:val="left"/>
        <w:outlineLvl w:val="1"/>
        <w:rPr>
          <w:rFonts w:ascii="quote-cjk-patch" w:hAnsi="quote-cjk-patch" w:eastAsia="宋体" w:cs="宋体"/>
          <w:b/>
          <w:bCs/>
          <w:color w:val="0F1115"/>
          <w:kern w:val="0"/>
          <w:sz w:val="36"/>
          <w:szCs w:val="36"/>
        </w:rPr>
      </w:pPr>
      <w:r>
        <w:rPr>
          <w:rFonts w:ascii="quote-cjk-patch" w:hAnsi="quote-cjk-patch" w:eastAsia="宋体" w:cs="宋体"/>
          <w:b/>
          <w:bCs/>
          <w:color w:val="0F1115"/>
          <w:kern w:val="0"/>
          <w:sz w:val="36"/>
          <w:szCs w:val="36"/>
        </w:rPr>
        <w:t>十、其他应当说明的事项</w:t>
      </w:r>
    </w:p>
    <w:p w14:paraId="54D4DC04">
      <w:pPr>
        <w:shd w:val="clear"/>
        <w:spacing w:line="360" w:lineRule="auto"/>
        <w:ind w:firstLine="560" w:firstLineChars="200"/>
        <w:rPr>
          <w:rFonts w:ascii="仿宋_GB2312" w:hAnsi="宋体" w:eastAsia="仿宋_GB2312"/>
          <w:sz w:val="28"/>
          <w:szCs w:val="28"/>
        </w:rPr>
      </w:pPr>
      <w:r>
        <w:rPr>
          <w:rFonts w:ascii="仿宋_GB2312" w:hAnsi="宋体" w:eastAsia="仿宋_GB2312"/>
          <w:sz w:val="28"/>
          <w:szCs w:val="28"/>
        </w:rPr>
        <w:t>无。</w:t>
      </w:r>
    </w:p>
    <w:p w14:paraId="64C95826">
      <w:pPr>
        <w:shd w:val="clear"/>
      </w:pPr>
    </w:p>
    <w:p w14:paraId="25F8EFEB">
      <w:pPr>
        <w:shd w:val="clea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quote-cjk-patch">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等线 Light">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4C763281">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DBA"/>
    <w:rsid w:val="00117EFA"/>
    <w:rsid w:val="00256A04"/>
    <w:rsid w:val="0043752F"/>
    <w:rsid w:val="00453782"/>
    <w:rsid w:val="00576B95"/>
    <w:rsid w:val="00615DBA"/>
    <w:rsid w:val="00742B94"/>
    <w:rsid w:val="00837229"/>
    <w:rsid w:val="00874531"/>
    <w:rsid w:val="008842A9"/>
    <w:rsid w:val="008C4391"/>
    <w:rsid w:val="008D7B33"/>
    <w:rsid w:val="00A80A77"/>
    <w:rsid w:val="00A833CC"/>
    <w:rsid w:val="00B01BB2"/>
    <w:rsid w:val="00B04CDB"/>
    <w:rsid w:val="00BA0FF8"/>
    <w:rsid w:val="00BE7D67"/>
    <w:rsid w:val="00C42468"/>
    <w:rsid w:val="00D234AB"/>
    <w:rsid w:val="00F43B03"/>
    <w:rsid w:val="00F7114E"/>
    <w:rsid w:val="00F76C2B"/>
    <w:rsid w:val="080C37FE"/>
    <w:rsid w:val="57E3613A"/>
    <w:rsid w:val="6C252563"/>
    <w:rsid w:val="7CE338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2"/>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unhideWhenUsed/>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uiPriority w:val="99"/>
    <w:pPr>
      <w:tabs>
        <w:tab w:val="center" w:pos="4153"/>
        <w:tab w:val="right" w:pos="8306"/>
      </w:tabs>
      <w:snapToGrid w:val="0"/>
      <w:jc w:val="left"/>
    </w:pPr>
    <w:rPr>
      <w:sz w:val="18"/>
      <w:szCs w:val="18"/>
    </w:rPr>
  </w:style>
  <w:style w:type="paragraph" w:styleId="12">
    <w:name w:val="header"/>
    <w:basedOn w:val="1"/>
    <w:link w:val="35"/>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qFormat/>
    <w:uiPriority w:val="9"/>
    <w:rPr>
      <w:rFonts w:cstheme="majorBidi"/>
      <w:color w:val="104862" w:themeColor="accent1" w:themeShade="BF"/>
      <w:sz w:val="28"/>
      <w:szCs w:val="28"/>
    </w:rPr>
  </w:style>
  <w:style w:type="character" w:customStyle="1" w:styleId="21">
    <w:name w:val="标题 5 字符"/>
    <w:basedOn w:val="16"/>
    <w:link w:val="6"/>
    <w:semiHidden/>
    <w:qFormat/>
    <w:uiPriority w:val="9"/>
    <w:rPr>
      <w:rFonts w:cstheme="majorBidi"/>
      <w:color w:val="104862" w:themeColor="accent1" w:themeShade="BF"/>
      <w:sz w:val="24"/>
      <w:szCs w:val="24"/>
    </w:rPr>
  </w:style>
  <w:style w:type="character" w:customStyle="1" w:styleId="22">
    <w:name w:val="标题 6 字符"/>
    <w:basedOn w:val="16"/>
    <w:link w:val="7"/>
    <w:semiHidden/>
    <w:qFormat/>
    <w:uiPriority w:val="9"/>
    <w:rPr>
      <w:rFonts w:cstheme="majorBidi"/>
      <w:b/>
      <w:bCs/>
      <w:color w:val="104862"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明显引用 字符"/>
    <w:basedOn w:val="16"/>
    <w:link w:val="32"/>
    <w:qFormat/>
    <w:uiPriority w:val="30"/>
    <w:rPr>
      <w:i/>
      <w:iCs/>
      <w:color w:val="104862" w:themeColor="accent1" w:themeShade="BF"/>
    </w:rPr>
  </w:style>
  <w:style w:type="character" w:customStyle="1" w:styleId="34">
    <w:name w:val="Intense Reference"/>
    <w:basedOn w:val="16"/>
    <w:qFormat/>
    <w:uiPriority w:val="32"/>
    <w:rPr>
      <w:b/>
      <w:bCs/>
      <w:smallCaps/>
      <w:color w:val="104862" w:themeColor="accent1" w:themeShade="BF"/>
      <w:spacing w:val="5"/>
    </w:rPr>
  </w:style>
  <w:style w:type="character" w:customStyle="1" w:styleId="35">
    <w:name w:val="页眉 字符"/>
    <w:basedOn w:val="16"/>
    <w:link w:val="12"/>
    <w:qFormat/>
    <w:uiPriority w:val="99"/>
    <w:rPr>
      <w:sz w:val="18"/>
      <w:szCs w:val="18"/>
    </w:rPr>
  </w:style>
  <w:style w:type="character" w:customStyle="1" w:styleId="36">
    <w:name w:val="页脚 字符"/>
    <w:basedOn w:val="16"/>
    <w:link w:val="11"/>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e833c7aa-dc56-4d5a-98e7-02cb1d1e02b5</errorID>
      <errorWord>《村容村貌提升导则》（征求意见稿）</errorWord>
      <group>L1_Knowledge</group>
      <groupName>知识性问题</groupName>
      <ability>L2_Knowledge</ability>
      <abilityName>其他知识</abilityName>
      <candidateList>
        <item>《村容村貌提升导则（征求意见稿）》</item>
      </candidateList>
      <explain>疑似政策文件、法律法规名称等书写不规范，请注意检查。</explain>
      <paraID>2A8F16B3</paraID>
      <start>6</start>
      <end>23</end>
      <status>modified</status>
      <modifiedWord>《村容村貌提升导则（征求意见稿）》</modifiedWord>
      <trackRevisions>false</trackRevisions>
    </reviewItem>
    <reviewItem>
      <errorID>3ce2181c-2a1a-46dc-ab76-924286fdcca1</errorID>
      <errorWord>用</errorWord>
      <group>L1_Word</group>
      <groupName>字词问题</groupName>
      <ability>L2_Typo</ability>
      <abilityName>字词错误</abilityName>
      <candidateList>
        <item>用等</item>
      </candidateList>
      <explain/>
      <paraID>7F846D0A</paraID>
      <start>207</start>
      <end>208</end>
      <status>ignored</status>
      <modifiedWord/>
      <trackRevisions>false</trackRevisions>
    </reviewItem>
    <reviewItem>
      <errorID>ce1376d0-b1f8-4599-8b09-5112c281c52e</errorID>
      <errorWord>亟需</errorWord>
      <group>L1_Word</group>
      <groupName>字词问题</groupName>
      <ability>L2_Typo</ability>
      <abilityName>字词错误</abilityName>
      <candidateList>
        <item>亟须</item>
      </candidateList>
      <explain>存在发音相同字词的误用。</explain>
      <paraID> DFFB4A2</paraID>
      <start>57</start>
      <end>59</end>
      <status>modified</status>
      <modifiedWord>亟须</modifiedWord>
      <trackRevisions>false</trackRevisions>
    </reviewItem>
    <reviewItem>
      <errorID>255c67a4-2495-4595-ab42-e02f1c6c3cc2</errorID>
      <errorWord>预期</errorWord>
      <group>L1_Word</group>
      <groupName>字词问题</groupName>
      <ability>L2_Typo</ability>
      <abilityName>字词错误</abilityName>
      <candidateList>
        <item>以期</item>
      </candidateList>
      <explain>存在发音相近字词的误用。</explain>
      <paraID>6F596C03</paraID>
      <start>45</start>
      <end>47</end>
      <status>modified</status>
      <modifiedWord>以期</modifiedWord>
      <trackRevisions>false</trackRevisions>
    </reviewItem>
  </reviewItems>
  <config/>
</contractReview>
</file>

<file path=customXml/itemProps1.xml><?xml version="1.0" encoding="utf-8"?>
<ds:datastoreItem xmlns:ds="http://schemas.openxmlformats.org/officeDocument/2006/customXml" ds:itemID="{25d9262a-2f4f-470a-a8c0-799e35fd3a68}">
  <ds:schemaRefs/>
</ds:datastoreItem>
</file>

<file path=docProps/app.xml><?xml version="1.0" encoding="utf-8"?>
<Properties xmlns="http://schemas.openxmlformats.org/officeDocument/2006/extended-properties" xmlns:vt="http://schemas.openxmlformats.org/officeDocument/2006/docPropsVTypes">
  <Template>Normal</Template>
  <Pages>11</Pages>
  <Words>4299</Words>
  <Characters>4522</Characters>
  <Lines>32</Lines>
  <Paragraphs>9</Paragraphs>
  <TotalTime>863</TotalTime>
  <ScaleCrop>false</ScaleCrop>
  <LinksUpToDate>false</LinksUpToDate>
  <CharactersWithSpaces>4559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2026-03-24T13:23:00Z</dcterms:created>
  <dc:creator>GHY</dc:creator>
  <cp:lastModifiedBy>修订者1</cp:lastModifiedBy>
  <dcterms:modified xsi:type="dcterms:W3CDTF">2026-09-16T06:55:51Z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eyJoZGlkIjoiNmYxMDI5NTU1ODg1ZDU2MTU3MzdmMzJhY2JhNzIzNjYiLCJ1c2VySWQiOiIyNTEyMDc1OTEifQ==</vt:lpwstr>
  </property>
  <property fmtid="{D5CDD505-2E9C-101B-9397-08002B2CF9AE}" pid="3" name="KSOProductBuildVer">
    <vt:lpwstr>2052-12.1.0.28505</vt:lpwstr>
  </property>
  <property fmtid="{D5CDD505-2E9C-101B-9397-08002B2CF9AE}" pid="4" name="ICV">
    <vt:lpwstr>E373FF9E289D48C0A76A1DB289D5A90D_12</vt:lpwstr>
  </property>
</Properties>
</file>